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BB.2006.53 vom 20. September 2006</w:t>
      </w:r>
    </w:p>
    <w:p>
      <w:r>
        <w:t>Bundesstrafgericht, 2006-09-20, DE</w:t>
      </w:r>
    </w:p>
    <w:p>
      <w:r>
        <w:rPr>
          <w:b/>
        </w:rPr>
        <w:t xml:space="preserve">Quelle: </w:t>
      </w:r>
      <w:r>
        <w:t>https://mcp.opencaselaw.ch/entscheid/bstger_BB.2006.53</w:t>
      </w:r>
    </w:p>
    <w:p>
      <w:r>
        <w:t>FR: TPF BB.2006.53 du 20 septembre 2006</w:t>
      </w:r>
    </w:p>
    <w:p>
      <w:r>
        <w:t>IT: TPF BB.2006.53 del 20 settembre 2006</w:t>
      </w:r>
    </w:p>
    <w:p>
      <w:pPr>
        <w:pStyle w:val="Heading2"/>
      </w:pPr>
      <w:r>
        <w:t>Regeste</w:t>
      </w:r>
    </w:p>
    <w:p>
      <w:r>
        <w:t>Beschwerde gegen Beweismittelverfügung (Art. 214 Abs. 1 BStP)</w:t>
      </w:r>
    </w:p>
    <w:p>
      <w:pPr>
        <w:pStyle w:val="Heading2"/>
      </w:pPr>
      <w:r>
        <w:t>Erwägungen</w:t>
      </w:r>
    </w:p>
    <w:p>
      <w:r>
        <w:rPr>
          <w:b/>
        </w:rPr>
        <w:t>E. 1.1</w:t>
      </w:r>
    </w:p>
    <w:p>
      <w:r>
        <w:t>Gegen Amtshandlungen und wegen Säumnis des Untersuchungsrichters ist die Beschwerde an die Beschwerdekammer des Bundesstrafgerichts zu- lässig (Art. 214 Abs. 1 BStP). Ist die Beschwerde gegen eine Amtshand- lung des Untersuchungsrichters gerichtet, so ist sie innert fünf Tagen, nachdem der Beschwerdeführer von der Amtshandlung Kenntnis erhalten hat, einzureichen (Art. 217 BStP). Die Beschwerde steht den Parteien und einem jeden zu, der durch eine Verfügung oder durch die Säumnis des Un- tersuchungsrichters einen ungerechtfertigten Nachteil erleidet (Art. 214 Abs. 2 BStP).</w:t>
      </w:r>
    </w:p>
    <w:p>
      <w:r>
        <w:rPr>
          <w:b/>
        </w:rPr>
        <w:t>E. 1.2</w:t>
      </w:r>
    </w:p>
    <w:p>
      <w:r>
        <w:t>Die Beschwerde richtet sich einerseits gegen die Verfügung vom 23. Au- gust 2006. Diese Verfügung hat die Vorinstanz am 1. September 2006 auf- gehoben, womit das Verfahren in diesem Punkt gegenstandslos wird.</w:t>
      </w:r>
    </w:p>
    <w:p>
      <w:r>
        <w:t>Andererseits richtet sich die Beschwerde gegen Ziffer 2 der Verfügung vom 17. August 2006, die laut Eingangsstempel am 18. August 2006 beim Be- schwerdeführer einging (act. 1.1). Die fünftägige Beschwerdefrist endigte</w:t>
      </w:r>
    </w:p>
    <w:p>
      <w:r>
        <w:t>- 4 -</w:t>
      </w:r>
    </w:p>
    <w:p>
      <w:r>
        <w:t>folglich am 23. August 2006. Mit Postaufgabe der vorliegenden Beschwer- de am 30. August 2006 wurde die Beschwerdefrist nicht eingehalten. Auf die Beschwerde ist folglich diesbezüglich nicht einzutreten.</w:t>
      </w:r>
    </w:p>
    <w:p>
      <w:r>
        <w:t>Vor diesem Hintergrund werden das Gesuch um Gewährung der aufschie- benden Wirkung sowie das Feststellungsbegehren obsolet.</w:t>
      </w:r>
    </w:p>
    <w:p>
      <w:r>
        <w:rPr>
          <w:b/>
        </w:rPr>
        <w:t>E. 2.1</w:t>
      </w:r>
    </w:p>
    <w:p>
      <w:r>
        <w:t>Die Verlegung der Kosten folgt dem Ausgang des Verfahrens, wobei das Gericht bei Gegenstandslosigkeit mit summarischer Prüfung über die Pro- zesskosten aufgrund der Sachlage vor Eintritt des Erledigungsgrundes ent- scheidet (Art. 245 BStP i.V.m. Art. 146 ff. und 40 OG i.V.m. Art. 72 BZP; vgl. TPF BB.2005.87 vom 18. Oktober 2005 E. 2.1, BB.2005.81 vom 14. September 2005 E. 2.1).</w:t>
      </w:r>
    </w:p>
    <w:p>
      <w:r>
        <w:rPr>
          <w:b/>
        </w:rPr>
        <w:t>E. 2.2</w:t>
      </w:r>
    </w:p>
    <w:p>
      <w:r>
        <w:t>Im vorliegenden Fall zielt die Beschwerde des Beschwerdeführers auf zwei Verfügungen ab. Hinsichtlich der Verfügung vom 23. August 2006 wird die Beschwerde gegenstandslos, und zwar weil die Vorinstanz die angefochte- ne Verfügung ersatzlos aufhebt und in diesem Sinne dem Begehren des Beschwerdeführers vollumfänglich nachkommt, womit der Beschwerdefüh- rer diesbezüglich als obsiegende Partei zu betrachten ist. In Bezug auf die Verfügung vom 17. August 2006 wird auf die Beschwerde nicht eingetreten, womit der Beschwerdeführer in diesem Punkt unterliegt. Folglich sind die Kosten von den Parteien hälftig zu tragen.</w:t>
      </w:r>
    </w:p>
    <w:p>
      <w:r>
        <w:rPr>
          <w:b/>
        </w:rPr>
        <w:t>E. 3.1</w:t>
      </w:r>
    </w:p>
    <w:p>
      <w:r>
        <w:t>Die Gerichtsgebühr vor der Beschwerdekammer liegt zwischen Fr. 200.-- und Fr. 10'000.-- (Art. 3 des Reglements vom 11. Februar 2004 über die Gerichtsgebühren vor dem Bundesstrafgericht; SR 173.711.32).</w:t>
      </w:r>
    </w:p>
    <w:p>
      <w:r>
        <w:t>Vorliegend ist die Gerichtsgebühr auf Fr. 1'000.-- anzusetzen, wovon der Beschwerdeführer nach dem Gesagten die Hälfte, nämlich Fr. 500.--, zu tragen hat (Art. 245 BStP i.V.m. Art. 156 Abs. 1 OG). Die Bundesanwalt- schaft wird nicht kostenpflichtig (Art. 245 BStP i.V.m. Art. 156 Abs. 2 OG).</w:t>
      </w:r>
    </w:p>
    <w:p>
      <w:r>
        <w:rPr>
          <w:b/>
        </w:rPr>
        <w:t>E. 3.2</w:t>
      </w:r>
    </w:p>
    <w:p>
      <w:r>
        <w:t>Das Honorar des Anwalts bemisst sich nach dem notwendigen und ausge- wiesenen Zeitaufwand und der Stundenansatz beträgt mindestens Fr. 200.-- und höchstens Fr. 300.-- (Art. 3 des Reglements vom 11. Febru- ar 2004 über die Entschädigungen in Verfahren vor dem Bundesstrafge- richt; SR 173.711.31).</w:t>
      </w:r>
    </w:p>
    <w:p>
      <w:r>
        <w:t>- 5 -</w:t>
      </w:r>
    </w:p>
    <w:p>
      <w:r>
        <w:t>Der Rechtsvertreter des Beschwerdeführers macht geltend, für das vorlie- gende Verfahren rund sieben Honorarstunden aufgewendet zu haben, was aufgrund der Schwierigkeit und des Umfanges des Falles als angemessen erscheint. Der Stundenhonoraransatz ist aus den nämlichen Gründen auf Fr. 220.-- anzusetzen, was eine Parteientschädigung von Fr. 1'540.-- ergibt. Da der Beschwerdeführer mit seinen Begehren rund hälftig obsiegt, hat die Beschwerdegegnerin – welche die Beschwerde nicht ausdrücklich aner- kannt hat und folglich als gesetzlich vorgesehene Gegenpartei das Pro- zess- und Kostenrisiko trägt (vgl. TPF BH.2005.44 vom 30. Novem- ber 2005; vgl. BGE 123 V 159 E. 4b) – ihm hierfür eine Parteientschädi- gung in der Höhe der Hälfte dieses Betrages, nämlich Fr. 770.-- (inkl. MwSt), auszurichten.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