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BB.2006.52 vom 20. Februar 2007</w:t>
      </w:r>
    </w:p>
    <w:p>
      <w:r>
        <w:t>Bundesstrafgericht, 2007-02-20, DE</w:t>
      </w:r>
    </w:p>
    <w:p>
      <w:r>
        <w:rPr>
          <w:b/>
        </w:rPr>
        <w:t xml:space="preserve">Quelle: </w:t>
      </w:r>
      <w:r>
        <w:t>https://mcp.opencaselaw.ch/entscheid/bstger_BB.2006.52</w:t>
      </w:r>
    </w:p>
    <w:p>
      <w:r>
        <w:t>FR: TPF BB.2006.52 du 20 février 2007</w:t>
      </w:r>
    </w:p>
    <w:p>
      <w:r>
        <w:t>IT: TPF BB.2006.52 del 20 febbraio 2007</w:t>
      </w:r>
    </w:p>
    <w:p>
      <w:pPr>
        <w:pStyle w:val="Heading2"/>
      </w:pPr>
      <w:r>
        <w:t>Regeste</w:t>
      </w:r>
    </w:p>
    <w:p>
      <w:r>
        <w:t>Beschwerde gegen Beschlagnahme- und Editionsverfügung (Art. 65 BStP)</w:t>
      </w:r>
    </w:p>
    <w:p>
      <w:pPr>
        <w:pStyle w:val="Heading2"/>
      </w:pPr>
      <w:r>
        <w:t>Erwägungen</w:t>
      </w:r>
    </w:p>
    <w:p>
      <w:r>
        <w:rPr>
          <w:b/>
        </w:rPr>
        <w:t>E. 1.1</w:t>
      </w:r>
    </w:p>
    <w:p>
      <w:r>
        <w:t>Die Beschwerde ist gegen Amtshandlungen und wegen Säumnis des Bun- desanwalts zulässig (Art. 214 Abs. 1 i.V.m. Art. 105bis Abs. 2 BStP). Die Beschwerde steht den Parteien und einem jeden zu, der durch eine Verfü- gung oder durch die Säumnis des Bundesanwalts einen ungerechtfertigten Nachteil erleidet (Art. 214 Abs. 2 BStP). Die Beschwerde ist innert fünf Ta- gen, nachdem der Beschwerdeführer von der Amtshandlung Kenntnis er- halten hat, einzureichen (Art. 217 BStP). Die Beschwerde hemmt den Voll- zug der angefochtenen Verfügung nur, wenn die Beschwerdekammer oder ihr Präsident es anordnet (Art. 218 BStP).</w:t>
      </w:r>
    </w:p>
    <w:p>
      <w:r>
        <w:rPr>
          <w:b/>
        </w:rPr>
        <w:t>E. 1.2</w:t>
      </w:r>
    </w:p>
    <w:p>
      <w:r>
        <w:t>Die angefochtene Verfügung datiert vom Freitag, 11. August 2006 und wurde der Bank vorab per Fax und per Einschreiben „für sich und zu Han- den der Kundin (banklagernde Korrespondenz)“ eröffnet (act. 13.3). Die Bank bestätigte der Beschwerdegegnerin den Empfang der Verfügung am Montag, 14. August 2006 (act. 13.3 S. 5) und übermittelte diese am folgen- den Tag per Fax dem Rechtsvertreter des Beschwerdeführers (act. 1.3). Der Beschwerdeführer erhielt demnach am 15. August 2006 davon Kennt- nis. Mit Postaufgabe der Beschwerde vom 18. August 2006 wurde die Be- schwerdefrist gewahrt (Art. 32 Abs. 3 OG i.V.m. Art. 132 Abs. 1 BGG).</w:t>
      </w:r>
    </w:p>
    <w:p>
      <w:r>
        <w:rPr>
          <w:b/>
        </w:rPr>
        <w:t>E. 2</w:t>
      </w:r>
    </w:p>
    <w:p>
      <w:r>
        <w:t>Mit Ziff. 2 und 6 der Beschlagnahme- und Editionsverfügung wurde die Bank zur Einreichung sämtlicher Unterlagen bezüglich der unter Ziff. 1 der Verfügung beschlagnahmten sowie der bis dato nicht bekannten Bankbe- ziehungen aufgefordert; Ziff. 4 behält die Einforderung weiterer Unterlagen oder Informationen vor, während unter Ziff. 3 Auskunft über die Namen be- stimmter Bankmitarbeiter verlangt wurde. Gemäss Ziff. 5 wurden zudem die einzureichenden Unterlagen als Beweismittel beschlagnahmt.</w:t>
      </w:r>
    </w:p>
    <w:p>
      <w:r>
        <w:rPr>
          <w:b/>
        </w:rPr>
        <w:t>E. 2.1</w:t>
      </w:r>
    </w:p>
    <w:p>
      <w:r>
        <w:t>Der Beschwerdeführer erachtet sich gestützt auf letztere Anordnung (Ziff. 5 der Verfügung) auch zur Beschwerde gegen die Editionsanordnung als le- gitimiert, räumt indes ein, dass gemäss Praxis der Beschwerdekammer ein Beschuldigter nicht legitimiert sei, reine Editionsanordnungen anzufechten, solange die edierten Dokumente nicht beschlagnahmt würden (act. 1 S. 3). Die Beschwerdegegnerin führt aus, dass die Bekanntgabe der Namen von Angestellten oder Organen der Bank nicht mit der Edition und Beschlag- nahme von Dokumenten gleichzusetzen sei (act. 5 S. 2). Nachdem ihr die Bank darüber gewisse Mitteilungen gemacht habe, sei auf die Beschwerde nicht einzutreten. Hinsichtlich der Edition fehle es an einem schützenswer-</w:t>
      </w:r>
    </w:p>
    <w:p>
      <w:r>
        <w:t>- 5 -</w:t>
      </w:r>
    </w:p>
    <w:p>
      <w:r>
        <w:t>ten Interesse des Beschwerdeführers an der Geheimhaltung von Unterla- gen betreffend die von ihm beherrschten Gesellschaften (act. 13 S. 9).</w:t>
      </w:r>
    </w:p>
    <w:p>
      <w:r>
        <w:rPr>
          <w:b/>
        </w:rPr>
        <w:t>E. 2.2</w:t>
      </w:r>
    </w:p>
    <w:p>
      <w:r>
        <w:t>Das Gesetz sieht zwei Arten von Durchsuchungen vor: jene von Räumen (Art. 67 Abs. 1 BStP), welche zum Ziel hat, nach Objekten zu suchen, die als Beweismittel dienen oder als Vermögenswerte einer Einziehung unter- liegen können und damit für eine Beschlagnahme in Frage kommen, und jene von Papieren (Art. 69 Abs. 1 BStP). Die Edition als Surrogat der zwangsweisen Behändigung dient dabei nur der Sicherstellung von Unter- lagen, indem die physische Kontrolle über die zu edierenden Unterlagen vom Inhaber der Dokumente auf die Untersuchungsbehörde übergeht. Lediglich dem Papierinhaber kommt dabei das Recht zu, gegen die Durch- suchung derselben Einsprache im Sinne von Art. 69 Abs. 3 BStP zu erhe- ben, was zwar den physischen Übergang der Unterlagen an die Untersu- chungsbehörde nicht hindert, aber zur Versiegelung der edierten Papiere führt. Diesfalls ist von der Bundesanwaltschaft ein Entsiegelungsverfahren einzuleiten (Art. 69 Abs. 3 BStP), wobei der einsprechende vormalige Inha- ber der Unterlagen das entsprechende Kostenrisiko trägt. Die Versiegelung und Aufbewahrung der Papiere an einem sicheren Ort stellt dabei keine Zwangsmassnahme dar, welche mit Beschwerde angefochten werden kann. Von einer Durchsuchung kann bei Papieren erst bei Kenntnisnahme von deren Inhalt nach erfolgter Entsiegelung gesprochen werden (BGE 119 IV 326, 327 E. 7b; 109 IV 153, 154 E. 1). Diese Examinierung der Papiere stellt als solche eine Zwangsmassnahme dar (BGE 130 II 302, 304 E. 3.1; vgl. zum Ganzen TPF BB.2006.46 vom 12. Oktober 2006 E. 1.2). Keine Zwangsmassnahme oder eine damit zusammenhängende Amtshandlung bildet eine Verfügung, in welcher eine Bank aufgefordert wird, Belege über die geschäftlichen Beziehungen von namentlich bezeichneten Kunden vor- zulegen, verbunden mit der Ankündigung, dass schliesslich nur jene Do- kumente beschlagnahmt würden, die als Beweismittel in Frage kämen, da weder eine Durchsuchung erfolgte noch Papiere beschlagnahmt wurden, sondern bloss angekündigt wurde, dass solche Zwangsmassnahmen be- vorstünden (BGE 120 IV 260, 263 f. E. 3d). Die Beschwerdekammer hat in diesem Sinne festgehalten: „Or, si le séquestre est bien une mesure de contrainte susceptible d’être attaquée par la voie de la plainte, il ne devient effectif qu’une fois que les scellés ont été levés et que l’autorité de pour- suite, après avoir trié les documents saisis, décide de conserver ceux qui lui semblent pertinents pour l’enquête (art. 69 al. 2 PPF). Ce n’est donc qu’à partir de ce moment là que le propriétaire des documents séquestrés ou le tiers saisi peut se plaindre de cette mesure…” (TPF BB.2006.46 vom 12. Oktober 2006 E. 2.1). Der Kontoinhaber wie auch das Bankinstitut selbst sind mithin durch eine Editionsverfügung nicht beschwert, nur weil</w:t>
      </w:r>
    </w:p>
    <w:p>
      <w:r>
        <w:t>- 6 -</w:t>
      </w:r>
    </w:p>
    <w:p>
      <w:r>
        <w:t>darin bereits von einer „Beschlagnahme“ der Unterlagen gesprochen wird. Im Lichte dieser Rechtsprechung kann auf die Beschwerde mit Bezug auf die Editionsverfügung nicht eingetreten werden. Daran ändert – entgegen der Auffassung des Beschwerdeführers (act. 1 S. 3) – nichts, dass in Ziff. 5 der Verfügung die eingereichten Unterlagen gleichzeitig als Beweismittel beschlagnahmt werden (TPF BB.2006.46 vom 12. Oktober 2006 E. 2.1).</w:t>
      </w:r>
    </w:p>
    <w:p>
      <w:r>
        <w:rPr>
          <w:b/>
        </w:rPr>
        <w:t>E. 2.3</w:t>
      </w:r>
    </w:p>
    <w:p>
      <w:r>
        <w:t>Mit Bezug auf das Auskunftsbegehren gemäss Ziff. 3 der Verfügung fehlt es schon deshalb an einer Beschwer, weil der Beschwerdeführer nicht selbst zur Auskunfterteilung aufgefordert wurde. Sodann ist festzuhalten, dass die Bank die Namen der fraglichen Mitarbeiter bereits bekannt gege- ben hat (act. 7, Entscheid des Präsidenten vom 25. September 2006 betreffend aufschiebende Wirkung, E. 2.3). Es ist überdies nicht ersichtlich, inwiefern die blosse Bekanntgabe der Namen bestimmter Mitarbeiter des Bankinstituts an die Beschwerdegegnerin dem Beschwerdeführer zum Nachteil gereichen könnte, zumal im jetzigen Zeitpunkt gar nicht feststeht, ob diese überhaupt als Zeugen einvernommen werden sollen. Der Be- schwerdeführer wird diesbezüglich seine Verfahrensrechte im gegebenen Zeitpunkt wahren können (Art. 88ter Abs. 1 i.V.m. Art. 105bis Abs. 2 BStP).</w:t>
      </w:r>
    </w:p>
    <w:p>
      <w:r>
        <w:rPr>
          <w:b/>
        </w:rPr>
        <w:t>E. 2.4</w:t>
      </w:r>
    </w:p>
    <w:p>
      <w:r>
        <w:t>Nach dem Gesagten erweist sich die Beschwerde mit Bezug auf die Editi- ons- und Auskunftsaufforderungen gemäss Ziff. 2-6 der Verfügung mangels Beschwer als unzulässig. Auf die Beschwerde ist insoweit nicht einzutreten.</w:t>
      </w:r>
    </w:p>
    <w:p>
      <w:r>
        <w:t>Mit Blick auf Art. 79 BGG sei darauf hingewiesen, dass Editions- und Aus- kunftsaufforderungen keine Zwangsmassnahmen oder mit einer solchen zusammenhängende Amtshandlungen darstellen (BGE 120 IV 260, 262 ff. E. 3; Urteil des Bundesgerichts 1S.4/2006 vom 16. Mai 2006 E. 1.3, 1.4).</w:t>
      </w:r>
    </w:p>
    <w:p>
      <w:r>
        <w:rPr>
          <w:b/>
        </w:rPr>
        <w:t>E. 3.1</w:t>
      </w:r>
    </w:p>
    <w:p>
      <w:r>
        <w:t>Die Beschlagnahme bezieht sich gemäss Verfügung vom 11. August 2006 auf folgende Vermögenswerte bei der B.: ein je genau bezeichnetes Konto- korrent und Depot der C. (Ziff. 1a); allfällige Guthaben auf weiteren Konti bzw. Bankbeziehungen sowie Depotinhalte, an welchen der Beschuldigte (vorliegend Beschwerdeführer) wirtschaftlich berechtigt bzw. aufgrund von Vollmachten zeichnungsberechtigt oder berechtigt ist, sei es für eine natür- liche oder juristische Person einschliesslich Trusts (Ziff. 1b und c); den ge- samten Inhalt allfälliger Banksafes, die auf den Namen des Beschuldigten lauten oder für die dieser über eine Vollmacht zutrittsberechtigt ist (Ziff. 1d); alle Bankbeziehungen, welche auf den Namen des Beschuldigten lauten, unter Pseudonym oder unter Nummer (Ziff. 1e).</w:t>
      </w:r>
    </w:p>
    <w:p>
      <w:r>
        <w:t>- 7 -</w:t>
      </w:r>
    </w:p>
    <w:p>
      <w:r>
        <w:rPr>
          <w:b/>
        </w:rPr>
        <w:t>E. 3.2</w:t>
      </w:r>
    </w:p>
    <w:p>
      <w:r>
        <w:t>Soweit der Beschwerdeführer nicht Inhaber beschlagnahmter Vermögens- werte, sondern bloss (allfällig) wirtschaftlich Berechtigter ist, kommt ihm keine Beschwerdelegitimation zu und auf die Beschwerde kann zum Vor- neherein nicht eingetreten werden. Die Beschwerde ist nur zulässig, soweit der Beschwerdeführer in eigenem Namen handelt, da er nur diesbezüglich durch die Beschlagnahmeverfügung betroffen sein kann (TPF BB.2005.11 vom 14. Juni 2005 E. 1.2 m.w.H.). Der Nachweis einer Beschwer obliegt dem Beschwerdeführer (TPF BK_B 064/04a vom 30. Juli 2004 E. 1.2). Die- ser behauptet jedoch nicht, Kontoinhaber bzw. Inhaber von Vermögenswer- ten zu sein, welche von der Beschlagnahmeverfügung erfasst und von der Bank gestützt darauf gesperrt worden sind. Aufgrund der Angaben der Bank im Schreiben vom 22. August 2006 ist zudem davon auszugehen, dass keine auf den Namen des Beschwerdeführers lautenden Bankbezie- hungen bzw. Vermögenswerte bestehen (BE.2006.7 act. 1.6). Demnach fehlt es an einer Beschwerdelegitimation, weshalb auf die Beschwerde auch in diesem Punkt nicht eingetreten werden kann.</w:t>
      </w:r>
    </w:p>
    <w:p>
      <w:r>
        <w:rPr>
          <w:b/>
        </w:rPr>
        <w:t>E. 4</w:t>
      </w:r>
    </w:p>
    <w:p>
      <w:r>
        <w:t>Nach dem Gesagten ist auf die Beschwerde insgesamt nicht einzutreten.</w:t>
      </w:r>
    </w:p>
    <w:p>
      <w:r>
        <w:rPr>
          <w:b/>
        </w:rPr>
        <w:t>E. 5</w:t>
      </w:r>
    </w:p>
    <w:p>
      <w:r>
        <w:t>Da die Editions- und Beschlagnahmeverfügung nur der Bank und ihrer Kundin zu eröffnen war und der Beschwerdeführer nicht dargelegt hat, dass ihm in diesem Sinne die Verfügung zu eröffnen gewesen wäre, kann er sich mit Bezug auf die Editionsaufforderung nicht darauf berufen, dass er sich aufgrund einer fehlerhaften Rechtsmittelbelehrung in guten Treuen als zur Beschwerdeführung hätte berechtigt ansehen können. Es liegt insoweit kein Grund vor, im Sinne von Art. 156 Abs. 3 OG von einer Kostenauflage abzusehen (vgl. TPF BB.2006.46 vom 12. Oktober 2006 E. 2 und 3). Bei diesem Ausgang des Verfahrens wird der Beschwerdeführer somit kos- tenpflichtig (Art. 245 BStP in der Fassung vom 19. Dezember 2003 [in Kraft bis 31. Dezember 2006] i.V.m. Art. 156 Abs. 1 OG und Art. 132 Abs. 1 BGG). Die Gerichtsgebühr ist unter Berücksichtigung der Entscheide betreffend aufschiebende Wirkung sowie unentgeltliche Rechtspflege und Revision (Sachverhalt lit. D und E) auf Fr. 2'500.-- festzusetzen (Art. 3 des Reglements vom 11. Februar 2004 über die Gerichtsgebühren vor dem Bundesstrafgericht, SR 173.711.32) und dem Beschwerdeführer aufzuerle- gen, unter Anrechnung des geleisteten Kostenvorschusses von Fr. 1'000.--. Es wird keine Entschädigung an die obsiegende Partei ausgerichtet (Art. 245 BStP i.V.m. Art. 132 Abs. 1 BGG und Art. 159 Abs. 2 OG).</w:t>
      </w:r>
    </w:p>
    <w:p>
      <w:r>
        <w:t>- 8 -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