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BB.2006.51 vom 18. Dezember 2006</w:t>
      </w:r>
    </w:p>
    <w:p>
      <w:r>
        <w:t>Bundesstrafgericht, 2006-12-18, FR</w:t>
      </w:r>
    </w:p>
    <w:p>
      <w:r>
        <w:rPr>
          <w:b/>
        </w:rPr>
        <w:t xml:space="preserve">Quelle: </w:t>
      </w:r>
      <w:r>
        <w:t>https://mcp.opencaselaw.ch/entscheid/bstger_BB.2006.51</w:t>
      </w:r>
    </w:p>
    <w:p>
      <w:r>
        <w:t>FR: TPF BB.2006.51 du 18 décembre 2006</w:t>
      </w:r>
    </w:p>
    <w:p>
      <w:r>
        <w:t>IT: TPF BB.2006.51 del 18 dicembre 2006</w:t>
      </w:r>
    </w:p>
    <w:p>
      <w:pPr>
        <w:pStyle w:val="Heading2"/>
      </w:pPr>
      <w:r>
        <w:t>Regeste</w:t>
      </w:r>
    </w:p>
    <w:p>
      <w:r>
        <w:t>Séquestre (art. 65 PPF)</w:t>
      </w:r>
    </w:p>
    <w:p>
      <w:pPr>
        <w:pStyle w:val="Heading2"/>
      </w:pPr>
      <w:r>
        <w:t>Erwägungen</w:t>
      </w:r>
    </w:p>
    <w:p>
      <w:r>
        <w:rPr>
          <w:b/>
        </w:rPr>
        <w:t>E. 1.1</w:t>
      </w:r>
    </w:p>
    <w:p>
      <w:r>
        <w:t>La Cour des plaintes examine d’office et avec pleine cognition la recevabili- té des plaintes qui lui sont adressées (ATF 122 IV 188, 190 consid. 1 consid. 1 et arrêts cités).</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w:t>
      </w:r>
    </w:p>
    <w:p>
      <w:r>
        <w:t>- 4 -</w:t>
      </w:r>
    </w:p>
    <w:p>
      <w:r>
        <w:t>à compter de celui où le plaignant a eu connaissance de cette opération (art. 217 PPF). En l’espèce, la décision attaquée date du 10 août 2006 et a été reçue le 14 août 2006. La plainte interjetée le 17 août 2006 l’a été en temps utile. Elle est recevable en la forme.</w:t>
      </w:r>
    </w:p>
    <w:p>
      <w:r>
        <w:rPr>
          <w:b/>
        </w:rPr>
        <w:t>E. 2</w:t>
      </w:r>
    </w:p>
    <w:p>
      <w:r>
        <w:t>Le plaignant soutient que l’argent séquestré l’est à tort dans la mesure où il concerne des montants qui, selon le droit applicable à l’époque, ne de- vaient pas être versés à l’Université E., respectivement à l’école B. Il retient en particulier un montant de Fr. 320'000.-- qui aurait été viré sur le compte concerné le 3 janvier 2000. Considérant par ailleurs que les deux institu- tions précitées ne se sont pas constituées parties civiles, il estime que le séquestre ne se justifie d’aucune manière, même pour une éventuelle créance compensatrice, ce d’autant que la licéité des contrats concernés n’a jamais été remise en cause. Il invoque en outre que le séquestre est disproportionné, les sommes déjà bloquées sur d’autres comptes suffisant à rembourser les montants qui devraient l’être. Le MPC retient pour sa part que tant l’Université E. que l’école B. étaient en droit d’exiger le rembour- sement de frais ainsi que de percevoir des pourcentages sur les mandats passés. Le séquestre a ainsi été ordonné en vue de l’exécution d’une éven- tuelle créance compensatrices en faveur des lésées.</w:t>
      </w:r>
    </w:p>
    <w:p>
      <w:r>
        <w:rPr>
          <w:b/>
        </w:rPr>
        <w:t>E. 2.1</w:t>
      </w:r>
    </w:p>
    <w:p>
      <w:r>
        <w:t>Le séquestre prévu par l’art. 65 al. 1 PPF est une mesure provisoire (con- servatoire) permettant la saisie d'objets ou de valeurs qui pourraient faire l’objet d’une confiscation au sens de l’art. 59 CP. Que les infractions aient été commises par leur détenteur ou par un tiers, une telle mesure présup- pose l’existence d'indices suffisants que les valeurs patrimoniales aient pu servir à commettre une infraction ou en être le produit. Elle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 sid. 3.1; HAUSER/SCHWERI/HARTMANN, Schweizerisches Strafprozessrecht, Bâle 2005, p. 341 no 3 et p. 345 no 22). Le séquestre est proportionné lors- qu'il porte sur des avoirs dont on peut admettre qu'ils seront vraisembla- blement confisqués en application du droit pénal (arrêt du Tribunal fédéral 1P.239/2002 du 9 août 2002 consid. 3.1). Le séquestre ne préjuge pas de la décision matérielle de confiscation. Tant que subsiste un doute sur la part des fonds qui pourrait provenir d'une activité criminelle, l'intérêt public commande qu'ils demeurent à la disposition de la justice (SJ 1994 p. 97, 102). Lorsque les conditions de l’art. 59 CP sont remplies, la confiscation doit être ordonnée (SCHMID, Einziehung Organisiertes Verbrechen Geld- wäscherei, Volume I, Zurich 1998, ad art. 59 CP p. 82 no 11). Les mêmes</w:t>
      </w:r>
    </w:p>
    <w:p>
      <w:r>
        <w:t>- 5 -</w:t>
      </w:r>
    </w:p>
    <w:p>
      <w:r>
        <w:t>principes valent pour le cas où une créance compensatrice peut être envi- sagée.</w:t>
      </w:r>
    </w:p>
    <w:p>
      <w:r>
        <w:rPr>
          <w:b/>
        </w:rPr>
        <w:t>E. 2.2</w:t>
      </w:r>
    </w:p>
    <w:p>
      <w:r>
        <w:t>Le plaignant a été engagé à l’Université E. le 1er septembre 1989. Il a pas- sé le premier contrat avec C. SA le 7 mars 1991 (pièce MPC 05 00 0451); plusieurs autres contrats ont été conclus, respectivement reconduits, avec cette même société et avec la société F. jusqu’en octobre 2001, date à la- quelle la faculté de chimie a été intégrée à l’école B. Ces contacts et contrats ont perduré après ce transfert (rapport final de fedpol.ch, pièce MPC 05 00 0381ss, notamment 05 00 0451 à 05 00 0453). En 1991, l’art. 65 de la loi sur l’Université du 6 décembre 1977 (ci-après: LUL) était en vi- gueur. Il prévoyait qu’en cas de mandats particuliers, les membres du corps enseignant devaient notamment en informer le rectorat et que si l’exécution d’un tel mandat entraînait des frais pour l’université, celle-ci pouvait en exiger le remboursement (pièce MPC 15 02 0110). Le plaignant aurait donc dû à tout le moins informer l’Université des contrats qu’il a conclus depuis 1991, cette dernière pouvant réclamer, le cas échéant, le remboursement des frais supportés par elle du fait de ces mandats. La loi du 14 décembre 1999 modifiant la LUL, entrée en vigueur le 1er janvier 2000, a précisé la réglementation en matière de mandats particuliers en ce sens que dès cette dernière date, les membres du personnel de l’Université devaient verser à l’institution une part échelonnée entre 20% et 60% des revenus perçus dans l’exécution des mandats n’entrant pas dans leur ca- hier des charges (pièce MPC 15 02 0033). Dès le 1er septembre 2000 est également entré en vigueur le « règlement du 26 juin 2000 sur les mandats particuliers du personnel de l’Université» concrétisant ce nouvel art. 65 LUL (pièce MPC 15 02 0065). Celui-ci prévoyait notamment une obligation d’annonce des mandats - qu’ils soient privés ou de recherche (art. 7 al. 2 et 12 al. 1) - ainsi qu’une obligation de rétrocession des revenus tirés de ces derniers (art. 8 à 12). Lors de la modification de la LUL, début janvier 2000, le laboratoire qui employait le plaignant était encore intégré à l’Université; il n’a été transféré à l’école B. que plus d’une année et demie plus tard. On ne voit donc pas pour quelle raison la nouvelle teneur de la loi relative à l’Université ainsi que le règlement y relatif de 2000, lequel s’appliquait no- tamment au corps enseignant (art. 1 du règlement du 26 juin 2000, pièce MPC 15 02 0065) - auquel appartenait sans conteste le prévenu -, ne sau- raient valablement être opposés à ce dernier. Il en résulte que l’inculpé qui travaillait pour l’Université E. était clairement soumis à une obligation d’annonce s’agissant des contrats qu’il avait pu passer avec des tiers, et cela, dès son engagement en 1989 jusqu’au transfert de la faculté en octo- bre 2001. En s’abstenant d’informer l’institution de leur existence, il a indu- bitablement empêché cette dernière de faire valoir ses droits à récupérer les frais pouvant résulter pour elle de ces accords externes. Dès 2000,</w:t>
      </w:r>
    </w:p>
    <w:p>
      <w:r>
        <w:t>- 6 -</w:t>
      </w:r>
    </w:p>
    <w:p>
      <w:r>
        <w:t>cette absence de communication a en outre empêché l’Université E. de percevoir des pourcentages sur les revenus découlant de ces contrats ainsi que le lui permettait sa nouvelle législation. La situation n’est pas différente pour la période passée sous l’égide de l’école B. La réglementation de cette dernière prévoit également une information à son égard quant à la conclusion de contrats, la restitution des frais et le prélèvement de pour- centages y relatifs (voir notamment: art. 6 de l’ordonnance du 18 septem- bre 2003 [état au 3 février 2004] sur le corps professoral des écoles EPF [RS 172.220.113.40]; art. 10 des directives sur les contrats de recherche édictées par le Conseil des EPF le 20 janvier 1988, pièce MPC 04 03 0026ss). Les sommes versées par les deux sociétés concernées n’ont ma- nifestement pas été investies dans la recherche ou servi à payer les frais dus à ces collaborations. Elles ont semble-t-il été utilisées à des fins pri- vées par le prévenu (rapport de fedpol.ch du 25 novembre 2005 p. 17, pièce MPC 05 00 0180). Le compte bloqué en l’espèce est le compte privé du plaignant; il a été alimenté par des fonds issus d’un de ses autres comp- tes auprès de la banque I. sur lequel il semble avoir encaissé des sommes tirées des contrats passés avec C. SA les 27 janvier 1997, 25 mars et</w:t>
      </w:r>
    </w:p>
    <w:p>
      <w:r>
        <w:rPr>
          <w:b/>
        </w:rPr>
        <w:t>E. 5</w:t>
      </w:r>
    </w:p>
    <w:p>
      <w:r>
        <w:t>En application de l'art. 156 OJ (applicable par renvoi de l’art. 245 PPF) et de l'art. 3 du règlement du 11 février 2004 fixant les émoluments judiciaires perçus par le Tribunal pénal fédéral (RS 173.711.32), un émolument de Fr. 1’000.--, réputé couvert par l'avance de frais de Fr. 1'000.-- déjà versée, sera mis à la charge du plaignant.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