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BB.2006.49 vom 18. September 2006</w:t>
      </w:r>
    </w:p>
    <w:p>
      <w:r>
        <w:t>Bundesstrafgericht, 2006-09-18, IT</w:t>
      </w:r>
    </w:p>
    <w:p>
      <w:r>
        <w:rPr>
          <w:b/>
        </w:rPr>
        <w:t xml:space="preserve">Quelle: </w:t>
      </w:r>
      <w:r>
        <w:t>https://mcp.opencaselaw.ch/entscheid/bstger_BB.2006.49</w:t>
      </w:r>
    </w:p>
    <w:p>
      <w:r>
        <w:t>FR: TPF BB.2006.49 du 18 septembre 2006</w:t>
      </w:r>
    </w:p>
    <w:p>
      <w:r>
        <w:t>IT: TPF BB.2006.49 del 18 settembre 2006</w:t>
      </w:r>
    </w:p>
    <w:p>
      <w:pPr>
        <w:pStyle w:val="Heading2"/>
      </w:pPr>
      <w:r>
        <w:t>Regeste</w:t>
      </w:r>
    </w:p>
    <w:p>
      <w:r>
        <w:t>Contestazione di competenza (art. 28 cpv. 1 let. g LTPF in relazione con l'art. 279 cpv. 2 PP)</w:t>
      </w:r>
    </w:p>
    <w:p>
      <w:pPr>
        <w:pStyle w:val="Heading2"/>
      </w:pPr>
      <w:r>
        <w:t>Erwägungen</w:t>
      </w:r>
    </w:p>
    <w:p>
      <w:r>
        <w:rPr>
          <w:b/>
        </w:rPr>
        <w:t>E. 1.1</w:t>
      </w:r>
    </w:p>
    <w:p>
      <w:r>
        <w:t>La decisione inerente alla giurisdizione della Confederazione pronunciata dal Ministero pubblico della Confederazione può essere impugnata dinanzi alla Corte dei reclami penali del Tribunale penale federale (v. art. 28 cpv. 1 let. g LTPF in relazione con l’art. 279 cpv. 2 PP). Gli art. 214-219 PP si applicano per analogia, ragione per cui il reclamo deve essere interposto nel termine di cinque giorni a contare dal giorno in cui il reclamante ne ha avuto conoscen- za (art. 217 PP; cfr. in questo ambito TPF BG.2005.6 del 6 giugno 2005 con- sid. 1.2 e BG.2005.16 del 12 luglio 2005 consid. 2). L’imputato è legittimato a contestare il foro anche in assenza di un conflitto di competenza tra le autori- tà che entrano in considerazione per il giudizio (cfr. TPF BG.2005.8 del 18 maggio 2005 consid. 1 e BK_G 127/04 del 21 ottobre 2004; SCHWERI/ BÄNZIGER, Interkantonale Gerichtsstandsbestimmung in Strafsachen, 2a ediz., Berna 2004, n° 612 e segg.).</w:t>
      </w:r>
    </w:p>
    <w:p>
      <w:r>
        <w:t>- 4 -</w:t>
      </w:r>
    </w:p>
    <w:p>
      <w:r>
        <w:rPr>
          <w:b/>
        </w:rPr>
        <w:t>E. 1.2</w:t>
      </w:r>
    </w:p>
    <w:p>
      <w:r>
        <w:t>La decisione impugnata data 9 agosto 2006 è pervenuta al patrocinatore del- la reclamante il giorno successivo; il reclamo, interposto il 10 agosto 2006, è dunque tempestivo. Vista la qualità d’imputata della reclamante, la sua legit- timazione a ricorrere è data.</w:t>
      </w:r>
    </w:p>
    <w:p>
      <w:r>
        <w:rPr>
          <w:b/>
        </w:rPr>
        <w:t>E. 2</w:t>
      </w:r>
    </w:p>
    <w:p>
      <w:r>
        <w:t>Gli art. 340 e 340bis CP elencano in maniera esaustiva i reati sottoposti alla giurisdizione federale. Le infrazioni agli art. 260ter e 305bis sono a certe condizioni sottoposte a tale giurisdizione (art. 340bis cpv 1 CP). Al contrario, le infrazioni agli art. 251 e 258 CP sono di norma perseguite e giudicate dalle autorità cantonali secondo le disposizioni di procedura delle leggi cantonali (art. 343 CP).</w:t>
      </w:r>
    </w:p>
    <w:p>
      <w:r>
        <w:rPr>
          <w:b/>
        </w:rPr>
        <w:t>E. 2.1</w:t>
      </w:r>
    </w:p>
    <w:p>
      <w:r>
        <w:t>Dagli atti in causa, e segnatamente dalle osservazioni del MPC, si evince chiaramente che le indagini nei confronti della reclamante portano allo stadio attuale unicamente su reati di principio di competenza esclusiva delle autori- tà penali cantonali, ovvero falsità in documenti e conseguimento fraudolento di falsa attestazione (art. 251 e 253 CP). A mente del MPC la competenza federale sarebbe comunque data visto che altri istruttori sono in corso, che l’inchiesta è diretta anche contro altre persone sospettate di infrazioni di competenza federale e che in ogni caso spetterà all’autorità inquirente, al momento opportuno, decidere un’eventuale disgiunzione o delega di compe- tenza ad altra autorità.</w:t>
      </w:r>
    </w:p>
    <w:p>
      <w:r>
        <w:rPr>
          <w:b/>
        </w:rPr>
        <w:t>E. 3</w:t>
      </w:r>
    </w:p>
    <w:p>
      <w:r>
        <w:t>Le motivazioni del MPC non possono essere condivise. È innanzitutto a torto che esso invoca le disposizioni di procedura penale fe- derale disciplinanti la delega di giurisdizione (art. 18 PP). Queste disposizioni possono per definizione entrare in linea di conto unicamente in presenza di almeno un’infrazione contestata alla reclamante (e non ad altri) che fondi la competenza federale (cfr. a questo proposito TPF BB.2005.108 del 19 di- cembre 2005 consid. 2). Nella fattispecie la situazione è sensibilmente diffe- rente. I requisiti di legge per fondare una giurisdizione federale, pur se dati nelle fasi iniziali dell’inchiesta, sono infatti venuti a cadere dal momento in cui, con decisione del 26 giugno 2006, il MPC ha deciso di sospendere le proprie indagini nei confronti della reclamante per quanto riguarda i sospetti di partecipazione e/o sostegno ad un’organizzazione criminale e riciclaggio di denaro. Il fatto che delle indagini per reati di competenza federale siano tuttora in corso nei confronti di altre persone non ha rilevanza alcuna. Di conseguenza resta unicamente da valutare l’opportunità di un eventuale trasferimento di foro alle autorità cantonali competenti. Il Tribunale federale ha infatti più volte ribadito il concetto secondo cui, anche in tali evenienze, un trasferimento di foro dovrebbe rimanere l’eccezione e non dovrebbe essere</w:t>
      </w:r>
    </w:p>
    <w:p>
      <w:r>
        <w:t>- 5 -</w:t>
      </w:r>
    </w:p>
    <w:p>
      <w:r>
        <w:t>effettuato se non in presenza di motivi importanti come ad esempio l’apparizione di fatti nuovi. Secondo l’Alta Corte è segnatamente necessario che in ogni caso venga verificato se non sia più opportuno, per ragioni di ef- ficienza e celerità procedurale, mantenere il foro presso l’autorità che ha av- viato l’inchiesta (DTF 120 IV 282 consid. 3a; 107 IV 158 consid. 1 e rinvii; sentenza del Tribunale federale 8G.5/2004 del 23 marzo 2004 consid. 2.4). In casu, la sospensione delle indagini preliminari per i due capi di imputazio- ne principali costituisce all’evidenza un fatto nuovo importante. La posizione processuale ed il coinvolgimento della reclamante nell’inchiesta su scala in- ternazionale condotta dagli inquirenti federali sono stati ridimensionati in ma- niera molto significativa. Ciò costituisce un elemento fondamentale di cui bi- sogna tenere conto nella valutazione dell’opportunità del trasferimento del fo- ro. I reati di falsità in documenti e di conseguimento fraudolento di falsa atte- stazione, seppur di una certa gravità, richiedono all’evidenza atti di indagine assai meno complessi e delicati di quanto non lo richiedano delle indagini con ramificazioni internazionali volte ad accertare un’eventuale partecipazio- ne o sostegno della reclamante ad un organizzazione criminale dedita al rici- claggio di denaro. Infine, i reati contestati ad A. oltre ad essere ben delimitati, non sembrano ormai più avere alcun nesso evidente con il filone principale dell’inchiesta condotta dal MPC. Di conseguenza un trasferimento alle autori- tà cantonali non dovrebbe comportare inconvenienti importanti e le esigenze di celerità ed efficacia del procedimento penale non dovrebbero subire alcu- na ripercussione.</w:t>
      </w:r>
    </w:p>
    <w:p>
      <w:r>
        <w:rPr>
          <w:b/>
        </w:rPr>
        <w:t>E. 4</w:t>
      </w:r>
    </w:p>
    <w:p>
      <w:r>
        <w:t>Tenuto conto di quanto precede la Corte dei reclami penali ritiene che non si giustifichi più che il procedimento rimanga di competenza federale e ne ordi- na l’attribuzione al Ministero pubblico del Cantone Ticino.</w:t>
      </w:r>
    </w:p>
    <w:p>
      <w:r>
        <w:rPr>
          <w:b/>
        </w:rPr>
        <w:t>E. 5</w:t>
      </w:r>
    </w:p>
    <w:p>
      <w:r>
        <w:t>Discende da quanto precede che il reclamo deve essere accolto e la deci- sione impugnata annullata. Alla reclamante, che si è avvalsa del patrocinio di un avvocato, vanno riconosciute adeguate indennità per ripetibili (art. 245 PP in relazione all’art. 159 cpv. 1 OG). Secondo l’art. 159 OG, statuendo sulla contestazione, il tribunale decide se e in quale misura le spese della parte vincente devono essere sostenute da quella soccombente. Se la sentenza dà ragione al ricorrente, le spese indispensabili causate dalla contestazione gli devono essere rimborsate; in concreto è applicabile il Regolamento sulle spese ripetibili nei procedimenti davanti al Tribunale penale federale (RS 173.711.31). Giusta il suo art. 3 cpv. 3, se entro l’udienza finale il patrocina- tore non fa pervenire la sua nota delle spese, l’onorario è fissato secondo il libero apprezzamento del Tribunale. Nelle procedure davanti alla Corte dei reclami penali, la data della decisione fa stato e sostituisce quella della chiu-</w:t>
      </w:r>
    </w:p>
    <w:p>
      <w:r>
        <w:t>- 6 -</w:t>
      </w:r>
    </w:p>
    <w:p>
      <w:r>
        <w:t>sura dei dibattimenti. Tenuto conto del presumibile e necessario dispendio causato dalla presente causa, in concreto viene assegnata al reclamante un’indennità forfetaria (IVA inclusa) di fr. 1’500.-- a titolo di ripetibili, da porre a carico del MPC. Alla reclamante, infine, deve essere restituito l’anticipo delle spese di fr. 1'000.-- da lei versato.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