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BB.2006.46 vom 12. Oktober 2006</w:t>
      </w:r>
    </w:p>
    <w:p>
      <w:r>
        <w:t>Bundesstrafgericht, 2006-10-12, FR</w:t>
      </w:r>
    </w:p>
    <w:p>
      <w:r>
        <w:rPr>
          <w:b/>
        </w:rPr>
        <w:t xml:space="preserve">Quelle: </w:t>
      </w:r>
      <w:r>
        <w:t>https://mcp.opencaselaw.ch/entscheid/bstger_BB.2006.46</w:t>
      </w:r>
    </w:p>
    <w:p>
      <w:r>
        <w:t>FR: TPF BB.2006.46 du 12 octobre 2006</w:t>
      </w:r>
    </w:p>
    <w:p>
      <w:r>
        <w:t>IT: TPF BB.2006.46 del 12 ottobre 2006</w:t>
      </w:r>
    </w:p>
    <w:p>
      <w:pPr>
        <w:pStyle w:val="Heading2"/>
      </w:pPr>
      <w:r>
        <w:t>Regeste</w:t>
      </w:r>
    </w:p>
    <w:p>
      <w:r>
        <w:t>Perquisition et séquestre (art. 65 et 69 PPF)</w:t>
      </w:r>
    </w:p>
    <w:p>
      <w:pPr>
        <w:pStyle w:val="Heading2"/>
      </w:pPr>
      <w:r>
        <w:t>Erwägungen</w:t>
      </w:r>
    </w:p>
    <w:p>
      <w:r>
        <w:rPr>
          <w:b/>
        </w:rPr>
        <w:t>E. 1.1</w:t>
      </w:r>
    </w:p>
    <w:p>
      <w:r>
        <w:t>Aux termes des art. 214ss PPF (applicables par renvoi de l’art. 105bis al. 2 PPF et en vertu de l’art. 28 al. 1 let. a LTPF), il peut être porté plainte contre les opérations et les omissions du MPC. Le droit de plainte appar- tient aux parties, ainsi qu’à toute personne à qui l’opération ou l’omission a fait subir un préjudice illégitime (art. 214 al. 2 PPF). En l’espèce, il s’agit donc de déterminer en premier lieu si le mandat de perquisition émis le 11 juillet 2006 pouvait faire l’objet d’une plainte au sens de l’art. 214 PPF.</w:t>
      </w:r>
    </w:p>
    <w:p>
      <w:r>
        <w:rPr>
          <w:b/>
        </w:rPr>
        <w:t>E. 1.2</w:t>
      </w:r>
    </w:p>
    <w:p>
      <w:r>
        <w:t>La loi prévoit deux types de perquisition: la perquisition de locaux (art. 67 PPF) qui a pour but de rechercher et séquestrer les objets pouvant servir de pièces à conviction ou des valeurs qui pourraient faire l’objet d’une confiscation, et la perquisition de papiers (art. 69 PPF). S’il n’est pas possi- ble de s’opposer à la première (TPF BV.2006.13 du 31 mars 2006 consid.</w:t>
      </w:r>
    </w:p>
    <w:p>
      <w:r>
        <w:rPr>
          <w:b/>
        </w:rPr>
        <w:t>E. 1.3</w:t>
      </w:r>
    </w:p>
    <w:p>
      <w:r>
        <w:t>In casu, au moment où la plainte a été déposée, les classeurs saisis n’avaient pas encore été perquisitionnés, ils étaient seulement mis sous scellés. Comme le relève à juste titre le MPC, le mandat de perquisition ne</w:t>
      </w:r>
    </w:p>
    <w:p>
      <w:r>
        <w:t>- 4 -</w:t>
      </w:r>
    </w:p>
    <w:p>
      <w:r>
        <w:t>pouvait donc pas, en tant que tel, faire l’objet d’une plainte (TPF BA.2005.9 du 16 novembre 2005 consid. 1; BB.2005.100 du 16 novembre 2005 consid. 2; BK_B 071/04 du 12 octobre 2004 consid. 2.3). La plainte est donc irrecevable.</w:t>
      </w:r>
    </w:p>
    <w:p>
      <w:r>
        <w:rPr>
          <w:b/>
        </w:rPr>
        <w:t>E. 1.4</w:t>
      </w:r>
    </w:p>
    <w:p>
      <w:r>
        <w:t>Il ressort, certes, de la plainte elle-même et des échanges d’écritures qui ont suivi que cet acte était dirigé, non pas contre la perquisition en tant que telle, mais contre le séquestre des 48 classeurs. En réalité, et comme déjà relevé, les pièces saisies n’ont pas alors été séquestrées, mais seulement placées en lieu sûr, ce qui ne constitue pas une opération susceptible d’être attaquée par la voie de la plainte. A ce titre également, la plainte est irrecevable.</w:t>
      </w:r>
    </w:p>
    <w:p>
      <w:r>
        <w:rPr>
          <w:b/>
        </w:rPr>
        <w:t>E. 2</w:t>
      </w:r>
    </w:p>
    <w:p>
      <w:r>
        <w:t>La Cour des plaintes ne statue pas seulement sur les plaintes dirigées contre les opérations ou les omissions du juge d’instruction ou du procureur général. A teneur de l’art. 28 al. 2 LTPF, elle est aussi chargée de la sur- veillance sur les recherches de la police judiciaire dans les affaires pénales relevant de la juridiction fédérale. Il sied dès lors de se demander si, ne pouvant être saisie comme autorité de plainte au sens des art. 214 et sui- vants PPF, la Cour des plaintes ne devrait pas intervenir en l’espèce en sa qualité d’autorité de surveillance (TPF BK_A 100/04 du 20 septembre 2004 consid. 3; arrêt du Tribunal fédéral 8G.145/2003 du 9 mars 2004 consid. 3), dans la mesure où l’ordonnance querellée et l’inventaire établi lors de la perquisition des locaux étaient libellés de manière trompeuse, le « mandat de perquisition » indiquant de surcroît une voie de droit en réalité inexis- tante.</w:t>
      </w:r>
    </w:p>
    <w:p>
      <w:r>
        <w:rPr>
          <w:b/>
        </w:rPr>
        <w:t>E. 2.1</w:t>
      </w:r>
    </w:p>
    <w:p>
      <w:r>
        <w:t>Le « mandat de perquisition » mentionne expressément la possibilité d’adresser « conformément aux art. 105bis al. 2 et 214ss PPF, un recours contre cette ordonnance, par écrit et dans un délai de 5 jours dès sa notifi- cation, au Président de la Cour des plaintes du Tribunal pénal fédéral ». Cette indication est erronée, l’ordonnance incriminée ne pouvant faire l’objet d’une plainte, comme déjà développé plus haut (consid. 1.2). La confusion que cette indication n’a pas manqué d’engendrer est de plus ren- forcée par le texte du « mandat de perquisition » qui parle de « séquestre » de la documentation et par l’inventaire établi par la PJF qui mentionne à plusieurs reprises les termes d’objets « séquestrés » (act. 1.4). Or, si le sé- questre est bien une mesure de contrainte susceptible d’être attaquée par la voie de la plainte, il ne devient effectif qu’une fois que les scellés ont été levés et que l’autorité de poursuite, après avoir trié les documents saisis, décide de conserver ceux qui lui semblent pertinents pour l’enquête (art. 69</w:t>
      </w:r>
    </w:p>
    <w:p>
      <w:r>
        <w:t>- 5 -</w:t>
      </w:r>
    </w:p>
    <w:p>
      <w:r>
        <w:t>al. 2 PPF). Ce n’est donc qu’à partir de ce moment là que le propriétaire des documents séquestrés ou le tiers saisi peut se plaindre de cette me- sure, étape que la procédure n’avait pas encore atteinte le 12 juillet 2006. L’argument invoqué par le MPC pour justifier la présence de cette indica- tion, et selon lequel la mention d’une voie de recours dans l’acte incriminé n’aurait pour autre but que de rendre le tiers saisi attentif à la possibilité de s’adresser à la Cour de céans en sa qualité d’autorité de surveillance, est par ailleurs dépourvu de toute pertinence dans la mesure, notamment, où la dénonciation n’est de façon générale soumise à aucune condition de forme ni de délai (TPF BB.2006.59 du 11 octobre 2006 consid. 2.1; BA.2005.1 du 23 mai 2005 consid. 2; JAAC 62.24 et références citées). C’est donc par erreur que le MPC a mentionné une voie de droit sur son « mandat de perquisition » du 11 juillet 2006, ce qu’il conviendra d’éviter à l’avenir.</w:t>
      </w:r>
    </w:p>
    <w:p>
      <w:r>
        <w:rPr>
          <w:b/>
        </w:rPr>
        <w:t>E. 2.2</w:t>
      </w:r>
    </w:p>
    <w:p>
      <w:r>
        <w:t>La question de savoir si la plaignante pourrait bénéficier d’une quelconque protection au titre de la bonne foi (art. 9 Cst; ATF 129 I 161, 170 consid. 4.1; 129 II 361, 381 consid. 7.1; arrêt du Tribunal fédéral 1S.5/2006 et 1S.6/2006 du 5 mai 2006 consid. 4.3) en raison de ces indications trom- peuses peut être laissée indécise dans la mesure où, de toute façon, cette situation ne saurait induire la création d’une voie de droit qui n’existe pas. Il reste que, compte tenu des circonstances, la plaignante ne saurait se voir reprocher d’avoir fait usage de la voie de droit indiquée par erreur par le MPC.</w:t>
      </w:r>
    </w:p>
    <w:p>
      <w:r>
        <w:rPr>
          <w:b/>
        </w:rPr>
        <w:t>E. 3</w:t>
      </w:r>
    </w:p>
    <w:p>
      <w:r>
        <w:t>La décision attaquée comportant une voie de droit erronée, il ne sera en l’espèce pas perçu de frais (art. 156 al. 3 OJ applicable par renvoi de l’art. 245 PPF).</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