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BB.2006.38 vom 12. Juni 2006</w:t>
      </w:r>
    </w:p>
    <w:p>
      <w:r>
        <w:t>Bundesstrafgericht, 2006-06-12, DE</w:t>
      </w:r>
    </w:p>
    <w:p>
      <w:r>
        <w:rPr>
          <w:b/>
        </w:rPr>
        <w:t xml:space="preserve">Quelle: </w:t>
      </w:r>
      <w:r>
        <w:t>https://mcp.opencaselaw.ch/entscheid/bstger_BB.2006.38</w:t>
      </w:r>
    </w:p>
    <w:p>
      <w:r>
        <w:t>FR: TPF BB.2006.38 du 12 juin 2006</w:t>
      </w:r>
    </w:p>
    <w:p>
      <w:r>
        <w:t>IT: TPF BB.2006.38 del 12 giugno 2006</w:t>
      </w:r>
    </w:p>
    <w:p>
      <w:pPr>
        <w:pStyle w:val="Heading2"/>
      </w:pPr>
      <w:r>
        <w:t>Regeste</w:t>
      </w:r>
    </w:p>
    <w:p>
      <w:r>
        <w:t>Beschwerde gegen Verfügung der Nichtfolgegebung (Art. 100 Abs. 5 BStP)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Februar 2004 über die Gerichtsgebühren vor dem Bundesstrafgericht; SR 173.711.32);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