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BB.2006.28 vom 23. Mai 2006</w:t>
      </w:r>
    </w:p>
    <w:p>
      <w:r>
        <w:t>Bundesstrafgericht, 2006-05-23, FR</w:t>
      </w:r>
    </w:p>
    <w:p>
      <w:r>
        <w:rPr>
          <w:b/>
        </w:rPr>
        <w:t xml:space="preserve">Quelle: </w:t>
      </w:r>
      <w:r>
        <w:t>https://mcp.opencaselaw.ch/entscheid/bstger_BB.2006.28</w:t>
      </w:r>
    </w:p>
    <w:p>
      <w:r>
        <w:t>FR: TPF BB.2006.28 du 23 mai 2006</w:t>
      </w:r>
    </w:p>
    <w:p>
      <w:r>
        <w:t>IT: TPF BB.2006.28 del 23 maggio 2006</w:t>
      </w:r>
    </w:p>
    <w:p>
      <w:pPr>
        <w:pStyle w:val="Heading2"/>
      </w:pPr>
      <w:r>
        <w:t>Regeste</w:t>
      </w:r>
    </w:p>
    <w:p>
      <w:r>
        <w:t>Refus d'une offre de preuve et fin de l'enquête de police judiciaire (art. 18 et 102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par laquelle le procureur fédéral en charge d’une enquête de police judiciaire refuse de procéder à l’audition d’un témoin est sujette à plainte (art. 102 et 105bis al. 2 PPF). Ayant été inculpé, le plaignant a quali- té pour agir (art. 214 al. 2 PPF) et sa plainte a été formée dans le délai lé- gal (art. 217 PPF). En tant qu’elle concerne le refus de procéder à l’audition de B. au titre de témoin, sa démarche est donc recevable.</w:t>
      </w:r>
    </w:p>
    <w:p>
      <w:r>
        <w:rPr>
          <w:b/>
        </w:rPr>
        <w:t>E. 2</w:t>
      </w:r>
    </w:p>
    <w:p>
      <w:r>
        <w:t>Le droit de faire citer un témoin à décharge est une composante du droit d’être entendu garanti par l’art. 29 al. 2 Cst., dont le contenu s’inspire à son tour de l’art. 6 ch. 3 let. d CEDH (ATF 125 I 127, 132 consid. 6a). Ces dis- positions ne précisent pas toutefois à quel stade de la procédure l’audition doit intervenir, de telle sorte que jurisprudence et doctrine s’accordent à considérer que le droit est respecté si l’audition a pu avoir lieu à l’un ou l’autre de ces stades, soit au plus tard lors de la phase des débats (arrêt du Tribunal pénal fédéral BK_B 132/04 du 21 octobre 2004 consid. 3; ATF 124 I 274, 285 consid. 5b et références citées; PIQUEREZ, Procédure pénale suisse, Zurich 2000, p. 277 n° 1248 et note de bas de page no 58). Le droit de faire citer un témoin à décharge suppose en outre que l’audition porte sur des faits pertinents pour l’appréciation de la culpabilité de l’auteur (arrêt du Tribunal pénal fédéral BB.2005.93 du 24 novembre 2005 consid. 3.1; ar- rêt du Tribunal fédéral 4P.105/2003 du 7 octobre 2003 consid. 2.2; ATF 124 I 241, 242 consid. 2; OBERHOLZER, Grundzüge des Strafprozessrechts, 2ème éd., Berne 2005, p. 180 n° 411; HAUSER/SCHWERI/HARTMANN, Schwei- zerisches Strafprozessrecht, 6ème éd., Bâle/Genève/Munich 2005, p. 254- 255 n° 7-7a; SCHMID, Strafprozessrecht, 4ème éd., Zurich 2004, n° 270).</w:t>
      </w:r>
    </w:p>
    <w:p>
      <w:r>
        <w:rPr>
          <w:b/>
        </w:rPr>
        <w:t>E. 3</w:t>
      </w:r>
    </w:p>
    <w:p>
      <w:r>
        <w:t>L’art. 102 PPF consacre ces principes au stade de l’enquête de police judi- ciaire. Il prévoit notamment que l’inculpé peut proposer au procureur géné- ral de prendre des mesures d’investigations (al. 1). Le magistrat doit alors se prononcer sur cette proposition (al. 2). A la faveur de la loi du 4 octobre 2002 sur le Tribunal pénal fédéral (RS 173.71), l’art. 102 al. 2 PPF a ce-</w:t>
      </w:r>
    </w:p>
    <w:p>
      <w:r>
        <w:t>- 4 -</w:t>
      </w:r>
    </w:p>
    <w:p>
      <w:r>
        <w:t>pendant été complété par la réserve des dispositions figurant aux art. 18 al. 1 et 2 et 18 bis al. 1 PPF. Cette adjonction avait précisément pour objec- tif de renvoyer aux autorités cantonales la décision sur les propositions de preuves, lorsque le MPC avait l’intention de déléguer la poursuite à ces au- torités (FF 2001 p. 4167; BÄNZIGER/LEIMGRUBER, Le nouvel engagement de la Confédération dans la poursuite pénale, Berne 2001, no 250 ad art. 102 PPF).</w:t>
      </w:r>
    </w:p>
    <w:p>
      <w:r>
        <w:rPr>
          <w:b/>
        </w:rPr>
        <w:t>E. 4</w:t>
      </w:r>
    </w:p>
    <w:p>
      <w:r>
        <w:t>En l’espèce, le MPC a l’intention de déléguer aux autorités genevoises la poursuite engagée contre le plaignant. En application des principes rappe- lés plus haut, la faculté lui était donc offerte de renoncer à faire administrer lui-même la preuve testimoniale proposée par le plaignant. Certes, le pro- cureur fédéral ne s’est pas formellement référé à la réserve prévue à l’art. 102 al. 2 PPF et il a fondé la décision querellée sur l’absence de pertinence du témoignage requis. Cette appréciation n’est toutefois pas de nature à lier l’autorité cantonale, devant laquelle le plaignant restera libre de propo- ser à nouveau l’audition du témoin B. et de contester un éventuel refus par les voies offertes par la procédure cantonale. La réserve dorénavant prévue à l’art. 102 al. 2 PPF est fondée sur les prin- cipes d’économie de procédure et de célérité du procès. Elle tend à éviter que des décisions relatives à l’administration des preuves soient prises par l’autorité fédérale, alors même que la cause sera désormais confiée à une autorité cantonale qui en conservera la maîtrise jusqu’à la phase du juge- ment et qui pourra, le cas échéant, porter une appréciation différente sur la pertinence ou l’utilité d’une telle administration. La solution du renvoi à l’autorité cantonale s’impose d’autant plus dans les cas où, comme en l’espèce, l’administration de la preuve requise impliquerait l’envoi d’une commission rogatoire à l’étranger et partant, retarderait pour plusieurs mois, dans le meilleur des cas, la délégation envisagée.</w:t>
      </w:r>
    </w:p>
    <w:p>
      <w:r>
        <w:rPr>
          <w:b/>
        </w:rPr>
        <w:t>E. 5</w:t>
      </w:r>
    </w:p>
    <w:p>
      <w:r>
        <w:t>Pour les motifs qui précèdent, la plainte doit donc être d’emblée rejetée, de telle sorte qu'il doit être renoncé à un échange d'écriture (art. 219 al. 1 PPF). Cette issue rend inutile une décision sur la requête d’effet suspensif.</w:t>
      </w:r>
    </w:p>
    <w:p>
      <w:r>
        <w:rPr>
          <w:b/>
        </w:rPr>
        <w:t>E. 6</w:t>
      </w:r>
    </w:p>
    <w:p>
      <w:r>
        <w:t>Selon l’art. 156 al. 1 OJ, applicable par renvoi de l’art. 245 PPF, la partie qui succombe est tenue au paiement des frais. L’issue de la cause se fon-</w:t>
      </w:r>
    </w:p>
    <w:p>
      <w:r>
        <w:t>- 5 -</w:t>
      </w:r>
    </w:p>
    <w:p>
      <w:r>
        <w:t>dant sur des motifs différents de ceux qui ont été retenus par l’autorité infé- rieure, les frais se limiteront en l’espèce à un émolument réduit qui sera fixé à Fr. 200.-- (art. 3 du règlement fixant les émoluments judiciaires perçus par le Tribunal pénal fédéral du 11 février 2004; RS 173.711.32). Il n'y a pas lieu d'allouer de dépens.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