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BB.2006.2 vom 24. April 2006</w:t>
      </w:r>
    </w:p>
    <w:p>
      <w:r>
        <w:t>Bundesstrafgericht, 2006-04-24, DE</w:t>
      </w:r>
    </w:p>
    <w:p>
      <w:r>
        <w:rPr>
          <w:b/>
        </w:rPr>
        <w:t xml:space="preserve">Quelle: </w:t>
      </w:r>
      <w:r>
        <w:t>https://mcp.opencaselaw.ch/entscheid/bstger_BB.2006.2</w:t>
      </w:r>
    </w:p>
    <w:p>
      <w:r>
        <w:t>FR: TPF BB.2006.2 du 24 avril 2006</w:t>
      </w:r>
    </w:p>
    <w:p>
      <w:r>
        <w:t>IT: TPF BB.2006.2 del 24 aprile 2006</w:t>
      </w:r>
    </w:p>
    <w:p>
      <w:pPr>
        <w:pStyle w:val="Heading2"/>
      </w:pPr>
      <w:r>
        <w:t>Regeste</w:t>
      </w:r>
    </w:p>
    <w:p>
      <w:r>
        <w:t>Beschwerde gegen Amtshandlung (Art.105bis Abs. 2 i.V.m. Art. 214 ff. BStP) / Entschädigung des amtlichen Verteidigers</w:t>
      </w:r>
    </w:p>
    <w:p>
      <w:pPr>
        <w:pStyle w:val="Heading2"/>
      </w:pPr>
      <w:r>
        <w:t>Erwägungen</w:t>
      </w:r>
    </w:p>
    <w:p>
      <w:r>
        <w:rPr>
          <w:b/>
        </w:rPr>
        <w:t>E. 1.1</w:t>
      </w:r>
    </w:p>
    <w:p>
      <w:r>
        <w:t>Die Verfügung betreffend Entschädigung des amtlichen Verteidigers vom 17. Januar 2006 wurde dem Beschwerdeführer per Gerichtsurkunde zuge- stellt. Mit der Eingabe des Beschwerdeführers vom 23. Januar 2006 wurde die fünftägige Frist gemäss Art. 105bis Abs. 2 i.V.m. Art. 217 BStP gewahrt.</w:t>
      </w:r>
    </w:p>
    <w:p>
      <w:r>
        <w:rPr>
          <w:b/>
        </w:rPr>
        <w:t>E. 1.2</w:t>
      </w:r>
    </w:p>
    <w:p>
      <w:r>
        <w:t>Zur Beschwerdeführung ist berechtigt, wer durch die angefochtene Verfü- gung oder durch die Säumnis einen ungerechtfertigten Nachteil erleidet (Art. 214 Abs. 2 BStP). Da die Frage, ob es sich bei diesem Nachteil um einen ungerechtfertigten Nachteil handelt, den materiellen Kern des Be- schwerdeverfahrens bildet, muss im Stadium der Legitimationsprüfung folg- lich eher von „möglichem ungerechtfertigtem“ Nachteil gesprochen werden. Vorliegend ist der Beschwerdeführer der amtliche Verteidiger des Beschul- digten, also nicht Partei gemäss Art. 34 BStP. Er stellt den Antrag, sein Honorar sei festzusetzen und ihm zu überweisen und beschwert sich, dass die Beschwerdegegnerin dieses nicht gemäss dem von ihm in Rechnung gestellten Betrag berechnet und die Honorarzahlung abgelehnt habe.</w:t>
      </w:r>
    </w:p>
    <w:p>
      <w:r>
        <w:rPr>
          <w:b/>
        </w:rPr>
        <w:t>E. 1.3</w:t>
      </w:r>
    </w:p>
    <w:p>
      <w:r>
        <w:t>Die Festsetzung des Honorars des amtlichen Verteidigers erfolgt erst beim Abschluss des Verfahrens – bei Einstellung durch den Bundesanwalt, nach der Anklageerhebung durch das Bundesstrafgericht (Art. 38 Abs. 1 BStP). Die Zusprechung einer Akontozahlung ist eine rein vorläufige, Billigkeits- überlegungen entspringende Massnahme, die nicht gesetzlich geregelt ist. Der effektive Entscheid über die Festsetzung und die Höhe des Honorars des amtlichen Verteidigers erfolgt erst bei Verfahrensabschluss. Es besteht in einem nicht abgeschlossenen Verfahren weder ein Rechtsanspruch des amtlichen Verteidigers auf Honorarzahlung für seine bisher erbrachten Aufwendungen noch ein solcher auf Leistung einer Akontozahlung (vgl. Entscheid des Bundesstrafgerichts BB.2005.20 vom 1. Juni 2005 E. 2.2).</w:t>
      </w:r>
    </w:p>
    <w:p>
      <w:r>
        <w:rPr>
          <w:b/>
        </w:rPr>
        <w:t>E. 1.4</w:t>
      </w:r>
    </w:p>
    <w:p>
      <w:r>
        <w:t>Durch die nicht erfolgte Honorarfestsetzung ist der Beschwerdeführer da- her nicht im Rechtssinne beschwert, womit keine genügende Beschwerde- legitimation vorliegt; das Gleiche gilt hinsichtlich seines Eventualantrags auf Leistung einer Akontozahlung. Diese wurde von der Beschwerdegegnerin im Übrigen bloss „zurzeit“ verweigert. Nach welchen Kriterien eine solche vorzunehmen wäre, ist im vorliegenden Beschwerdeverfahren nicht zu prü- fen. Immerhin wird die Beschwerdegegnerin bei dieser Gelegenheit darauf hingewiesen, dass ihre internen Weisungen betreffend Entschädigung des amtlichen Verteidigers vom 2. Mai 2005, welche in Art. 4 Abs. 2 Vorausset- zungen und Modalitäten einer allfälligen Akontozahlung regeln (act. 7.6), zwischenzeitlich durch die vom Bundesstrafgericht erlassene Weisung</w:t>
      </w:r>
    </w:p>
    <w:p>
      <w:r>
        <w:t>- 4 -</w:t>
      </w:r>
    </w:p>
    <w:p>
      <w:r>
        <w:t>betreffend Verteidigungs-, Kosten- und Vollzugsfragen vom 27. September 2005 abgelöst worden sind (vgl. Protokoll der Koordinationssitzung Bun- desstrafgericht, Bundesanwaltschaft und Untersuchungsrichteramt vom 5. Dezember 2005, Ziffer 6). Gemäss dieser Weisung ist grundsätzlich auf al- len Stufen des Bundesstrafverfahrens auf entsprechendes Gesuch hin eine Akontozahlung an den amtlichen Verteidiger nach jeweils einem Jahr oder bei Aufwendungen von Fr. 10'000.-- (Honorar und Auslagen) zulässig.</w:t>
      </w:r>
    </w:p>
    <w:p>
      <w:r>
        <w:rPr>
          <w:b/>
        </w:rPr>
        <w:t>E. 1.5</w:t>
      </w:r>
    </w:p>
    <w:p>
      <w:r>
        <w:t>Auf die Beschwerde ist nach dem Gesagten nicht einzutreten.</w:t>
      </w:r>
    </w:p>
    <w:p>
      <w:r>
        <w:rPr>
          <w:b/>
        </w:rPr>
        <w:t>E. 2</w:t>
      </w:r>
    </w:p>
    <w:p>
      <w:r>
        <w:t>Bei diesem Ausgang des Verfahrens wird der Beschwerdeführer kosten- pflichtig (Art. 245 BStP i.V.m. Art. 156 Abs. 1 OG). Die Gerichtsgebühr ist auf Fr. 1'000.-- festzusetzen (Art. 3 des Reglements vom 11. Februar 2004 über die Gerichtsgebühren vor dem Bundesstrafgericht; SR 173.711.32) und mit dem vom Beschwerdeführer in gleicher Höhe geleisteten Kosten- vorschuss zu verrechnen.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