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BB.2006.122 vom 15. November 2006</w:t>
      </w:r>
    </w:p>
    <w:p>
      <w:r>
        <w:t>Bundesstrafgericht, 2006-11-15, DE</w:t>
      </w:r>
    </w:p>
    <w:p>
      <w:r>
        <w:rPr>
          <w:b/>
        </w:rPr>
        <w:t xml:space="preserve">Quelle: </w:t>
      </w:r>
      <w:r>
        <w:t>https://mcp.opencaselaw.ch/entscheid/bstger_BB.2006.122</w:t>
      </w:r>
    </w:p>
    <w:p>
      <w:r>
        <w:t>FR: TPF BB.2006.122 du 15 novembre 2006</w:t>
      </w:r>
    </w:p>
    <w:p>
      <w:r>
        <w:t>IT: TPF BB.2006.122 del 15 novembre 2006</w:t>
      </w:r>
    </w:p>
    <w:p>
      <w:pPr>
        <w:pStyle w:val="Heading2"/>
      </w:pPr>
      <w:r>
        <w:t>Regeste</w:t>
      </w:r>
    </w:p>
    <w:p>
      <w:r>
        <w:t>Beschwerde betreffend Verletzung von Parteirechten und Gesuch um aufschiebendeWirkung (Art. 214 Abs. 1 und 218 BStP)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November 2006 an die Beschwerdekammer des Bundesstrafgerichts ge- langt und beantragt, es sei der angefochtene Entscheid aufzuheben und die Vorladung zu der auf den 20. November 2006 angesetzten Verhandlung ab- zunehmen, unter Kosten- und Entschädigungsfolgen zulasten der Bundes- kasse; A. zudem Antrag auf Gewährung der aufschiebenden Wirkung der Beschwerde stellt (act.1);</w:t>
      </w:r>
    </w:p>
    <w:p>
      <w:r>
        <w:t>- mit Blick auf den Ausgang des Verfahrens auf die Durchführung eines Schrif- tenwechsels verzichtet wurde (Art. 219 Abs. 1 BStP);</w:t>
      </w:r>
    </w:p>
    <w:p>
      <w:r>
        <w:t>- die Möglichkeit des Beschuldigten, zu seiner Einvernahme einen Verteidiger beizuziehen, sich nach dem anwendbaren Verfahrensrecht bestimmt und weder aus Art. 8 Abs. 1 BV noch aus Art. 32 Abs. 2 BV oder aus Art. 6 EMRK hergeleitet werden kann (BGE 104 Ia 17, 19 E. 4; HAUSER/SCHWERI/ HARTMANN, Schweizerisches Strafprozessrecht, 6. Aufl., Basel 2005, S. 393 N. 12);</w:t>
      </w:r>
    </w:p>
    <w:p>
      <w:r>
        <w:t>- gemäss Art. 118 BStP der Untersuchungsrichter dem Verteidiger gestatten kann, bei der Einvernahme des Beschuldigten anwesend zu sein, sofern da- durch die Untersuchung nicht beeinträchtigt wird;</w:t>
      </w:r>
    </w:p>
    <w:p>
      <w:r>
        <w:t>- 3 -</w:t>
      </w:r>
    </w:p>
    <w:p>
      <w:r>
        <w:t>- die zur Anwesenheit berechtigten Personen von Verhandlungsterminen rechtzeitig zu benachrichtigen sind, jedoch keinen Anspruch auf Verschie- bung der Tagfahrt haben (vgl. HAUSER/SCHWERI/HARTMANN, a.a.O., S. 396 N. 20; TPF BB.2006.43 vom 14. September 2006 E. 5.2, BB.2006.63 vom 20. September 2006 und BK_B 016/04 vom 27. Mai 2004 E. 3.5);</w:t>
      </w:r>
    </w:p>
    <w:p>
      <w:r>
        <w:t>- A. vorliegend vom Untersuchungsrichteramt über die vorgesehene Einver- nahme vom 20. November 2006 rund zwei Wochen vorher und mithin recht- zeitig in Kenntnis gesetzt wurde;</w:t>
      </w:r>
    </w:p>
    <w:p>
      <w:r>
        <w:t>- A. keinen Anspruch auf Verschiebung der Einvernahme vom 20. November 2006 hat;</w:t>
      </w:r>
    </w:p>
    <w:p>
      <w:r>
        <w:t>- der amtliche Verteidiger nach dem Grundsatz der effektiven bzw. effizienten Verteidigung die Interessen des Angeschuldigten in ausreichender und wirk- samer Weise wahrnehmen muss und bei seiner Aufgabe die gleichen Rech- te und dieselben Sorgfaltspflichten wie ein privater, erbetener Verteidiger hat (HAUSER/SCHWERI/HARTMANN, a.a.O., S. 165 f. N. 17 f.);</w:t>
      </w:r>
    </w:p>
    <w:p>
      <w:r>
        <w:t>- es daher dem amtlichen Verteidiger obliegt, für eine angemessene Verteidi- gung von A. anlässlich der Einvernahme vom 20. November 2006 besorgt zu sein;</w:t>
      </w:r>
    </w:p>
    <w:p>
      <w:r>
        <w:t>- sich die Beschwerde nach dem Gesagten sofort als unbegründet erweist und ohne vorgängigen Schriftenwechsel abzuweisen ist (Art. 219 Abs. 1 BStP);</w:t>
      </w:r>
    </w:p>
    <w:p>
      <w:r>
        <w:t>- das Gesuch um aufschiebende Wirkung somit gegenstandslos wird;</w:t>
      </w:r>
    </w:p>
    <w:p>
      <w:r>
        <w:t>- die Gewährung der amtlichen Verteidigung gemäss Art. 36 Abs. 1 BStP durch die Bundesanwaltschaft nicht automatisch im Beschwerdeverfahren gilt und der Beschwerdeführer im Beschwerdeverfahren die unentgeltliche Rechtspflege explizit beantragen muss (Art. 245 BStP i.V.m. Art. 152 Abs. 1 und 2 OG; TPF BB.2004.23 vom 25. August 2004 E. 5);</w:t>
      </w:r>
    </w:p>
    <w:p>
      <w:r>
        <w:t>- der Beschwerdeführer vorliegend kein entsprechendes Gesuch um unent- geltliche Rechtspflege gestellt hat;</w:t>
      </w:r>
    </w:p>
    <w:p>
      <w:r>
        <w:t>- bei diesem Ausgang des Verfahrens der Beschwerdeführer daher die Ge- richtskosten zu tragen hat (Art. 245 BStP i.V.m. Art. 156 Abs. 1 OG), wobei die Gerichtsgebühr auf Fr. 500.-- angesetzt wird (Art. 3 des Reglements vom</w:t>
      </w:r>
    </w:p>
    <w:p>
      <w:r>
        <w:t>- 4 -</w:t>
      </w:r>
    </w:p>
    <w:p>
      <w:r>
        <w:t>11. Februar 2004 über die Gerichtsgebühren vor dem Bundesstrafgericht; SR 173.711.32);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