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BB.2005.83 vom 5. September 2005</w:t>
      </w:r>
    </w:p>
    <w:p>
      <w:r>
        <w:t>Bundesstrafgericht, 2005-09-05, DE</w:t>
      </w:r>
    </w:p>
    <w:p>
      <w:r>
        <w:rPr>
          <w:b/>
        </w:rPr>
        <w:t xml:space="preserve">Quelle: </w:t>
      </w:r>
      <w:r>
        <w:t>https://mcp.opencaselaw.ch/entscheid/bstger_BB.2005.83</w:t>
      </w:r>
    </w:p>
    <w:p>
      <w:r>
        <w:t>FR: TPF BB.2005.83 du 5 septembre 2005</w:t>
      </w:r>
    </w:p>
    <w:p>
      <w:r>
        <w:t>IT: TPF BB.2005.83 del 5 settembre 2005</w:t>
      </w:r>
    </w:p>
    <w:p>
      <w:pPr>
        <w:pStyle w:val="Heading2"/>
      </w:pPr>
      <w:r>
        <w:t>Regeste</w:t>
      </w:r>
    </w:p>
    <w:p>
      <w:r>
        <w:t>Beschwerde gegen Mitteilungsverbot (Art. 105bis Abs. 2 BStP; Art. 292 StGB)</w:t>
      </w:r>
    </w:p>
    <w:p>
      <w:pPr>
        <w:pStyle w:val="Heading2"/>
      </w:pPr>
      <w:r>
        <w:t>Erwägungen</w:t>
      </w:r>
    </w:p>
    <w:p>
      <w:r>
        <w:rPr>
          <w:b/>
        </w:rPr>
        <w:t>E. 1</w:t>
      </w:r>
    </w:p>
    <w:p>
      <w:r>
        <w:t>Die Beschwerdegegnerin auferlegte der Beschwerdeführerin mit Verfügung vom 12. Juli 2005 unter Strafandrohung gemäss Art. 292 StGB ein Mittei- lungsverbot betreffend eine Editionsverfügung, worin sie die Beschwerde- führerin um Auskunft über Geschäftsbeziehungen zu einem Bankkunden ersuchte (act. 1.2). Dieses Mitteilungsverbot hob die Beschwerdegegnerin am 2. August 2005 mit sofortiger Wirkung auf (act. 5.1). Demnach fehlt es der Beschwerde an einem aktuellen praktischen Rechtsschutzinteresse (vgl. NIKLAUS OBERHOLZER, Grundzüge des Strafprozessrechts, 2. Aufl., Bern 2005, N 1604). Das Beschwerdeverfahren, welches einzig die Anfech- tung des Mitteilungsverbots zum Gegenstand hat, ist daher infolge Gegen- standslosigkeit abzuschreiben, wie dies denn auch von der Bundesanwalt- schaft in der Beschwerdeantwort beantragt worden ist (act. 5 und 5.1 S. 2).</w:t>
      </w:r>
    </w:p>
    <w:p>
      <w:r>
        <w:rPr>
          <w:b/>
        </w:rPr>
        <w:t>E. 2</w:t>
      </w:r>
    </w:p>
    <w:p>
      <w:r>
        <w:t>BStP insoweit eine hinreichende gesetzliche Grundlage, als sachlich not- wendige und zeitlich limitierte Informationssperren gegenüber Banken grundsätzlich keinen besonders empfindlichen Eingriff in die verfassungs- rechtlich geschützte Kommunikations- und Wirtschaftsfreiheit darstellten (E. 6.2 und 6.3). Im konkreten Fall hielt es fest, dass die Bank nicht sub- stantiiert habe, aus welchen Gründen ihr privates Interesse, ihre Kunden oder Dritte über hängige strafprozessuale Ermittlungen zu informieren, das öffentliche Interesse an der ungestörten Aufklärung von mutmasslichen schweren Straftaten überwiegen könnte. Der vorgenommene Eingriff in ver- fassungsmässige Individualrechte müsse jedoch auch in zeitlicher Hinsicht verhältnismässig sein, was bei einer (zeitlich unlimitiert angeordneten) In- formationssperre, die bereits knapp ein Jahr dauere und seither nicht auf- gehoben worden sei, nicht der Fall sei. Zudem wäre eine unbefristete straf- bewehrte Informationssperre auch als schwerer Eingriff in die Wirtschafts- und Kommunikationsfreiheit der betroffenen Bank anzusehen, der einer ausdrücklichen formellgesetzlichen Grundlage bedürfe (E. 6.4). Das Bun- desgericht erklärte gestützt auf diese Ausführungen die Weiterdauer der in Frage stehenden Informationssperre als verfassungswidrig (E. 7).</w:t>
      </w:r>
    </w:p>
    <w:p>
      <w:r>
        <w:rPr>
          <w:b/>
        </w:rPr>
        <w:t>E. 2.1</w:t>
      </w:r>
    </w:p>
    <w:p>
      <w:r>
        <w:t>Die zitierte Bestimmung sowie Art. 29 Abs. 2 BV gebieten grundsätzlich, eine Stellungnahme der Verfahrensbeteiligten zur Frage der Prozesskosten einzuholen. Davon kann jedoch mit Bezug auf die Beschwerdeführerin ab- gesehen werden, wenn diese Frage – wie vorliegend – im Sinne ihrer Be- schwerdeanträge entschieden wird (vgl. Entscheid des Bundesgerichts 1S.15/2005 vom 24. Mai 2005 E. 2). Die Beschwerdegegnerin ihrerseits überliess es der Beschwerdekammer, ob sie nach Eröffnung der Begrün- dung des Entscheids des Bundesgerichts 1S.11/2005 vom 25. Juli 2005 noch zur Stellungnahme bezüglich der Frage der Kostenliquidation einzu- laden sei (act. 5). Indem sie selber die Abschreibung des Verfahrens infol- ge Gegenstandslosigkeit beantragte, ohne sich weder gleichzeitig zur Kos- tenfrage zu äussern noch sich eine allfällige Stellungnahme vorzubehalten, können ihre Äusserungen zwanglos als Verzicht auf eine solche verstan- den werden, zumal die vorliegende Beschwerde – wie nachfolgend aufzu- zeigen ist – wohl im Sinne der Erwägungen des von der Beschwerdegeg- nerin zitierten Bundesgerichtsentscheids zu entscheiden gewesen wäre.</w:t>
      </w:r>
    </w:p>
    <w:p>
      <w:r>
        <w:rPr>
          <w:b/>
        </w:rPr>
        <w:t>E. 2.2</w:t>
      </w:r>
    </w:p>
    <w:p>
      <w:r>
        <w:t>Im Entscheid vom 25. Juli 2005 hielt das Bundesgericht bei einem gleich gelagerten Sachverhalt fest, dass das Bundesgesetz über die Bundesstraf-</w:t>
      </w:r>
    </w:p>
    <w:p>
      <w:r>
        <w:t>- 4 -</w:t>
      </w:r>
    </w:p>
    <w:p>
      <w:r>
        <w:t>rechtspflege keine ausdrückliche formellgesetzliche Grundlage für strafbe- wehrte Mitteilungsverbote gegenüber von Editionsverfügungen betroffenen Privaten kenne. Es erblickte jedoch in der Generalklausel von Art. 101 Abs.</w:t>
      </w:r>
    </w:p>
    <w:p>
      <w:r>
        <w:rPr>
          <w:b/>
        </w:rPr>
        <w:t>E. 2.3</w:t>
      </w:r>
    </w:p>
    <w:p>
      <w:r>
        <w:t>Die Beschwerdeführerin macht vorliegend unter anderem eine Unverhält- nismässigkeit des Mitteilungsverbots wegen seiner bisherigen Dauer und der fehlenden Befristung geltend. Das mit Verfügung vom 12. Juli 2005 ver- hängte Mitteilungsverbot bekräftigt im Prinzip das - unangefochten geblie- bene - Mitteilungsverbot gemäss Verfügung vom 12. März 2004. In der Sa- che geht es hier wie dort darum, dass die Beschwerdegegnerin der Be- schwerdeführerin verbot, ihren – soweit aus den Akten ersichtlich gleichen – Bankkunden davon Mitteilung zu machen, dass die Beschwerdegegnerin im Rahmen eines Ermittlungsverfahrens um Auskunft über bestehende, saldierte und neu eingegangene Geschäftsbeziehungen ersuchte. Nament- lich ersuchte die Beschwerdegegnerin mit der teilweise angefochtenen Ver- fügung vom 12. Juli 2005 um Auskunft über allfällige seit der ersten Verfü- gung eingetretene Veränderungen in den Geschäftsbeziehungen und auf- erlegte der Bank diesbezüglich ein Mitteilungsverbot. Der Sache nach liegt damit ein seit mehr als einem Jahr bestehendes unbefristetes Mitteilungs- verbot vor. Dieser Eingriff in die Individualrechte der Beschwerdegegnerin hätte im Lichte der vorstehend zitierten Rechtsprechung wohl als verfas- sungswidrig eingestuft werden müssen.</w:t>
      </w:r>
    </w:p>
    <w:p>
      <w:r>
        <w:t>- 5 -</w:t>
      </w:r>
    </w:p>
    <w:p>
      <w:r>
        <w:rPr>
          <w:b/>
        </w:rPr>
        <w:t>E. 2.4</w:t>
      </w:r>
    </w:p>
    <w:p>
      <w:r>
        <w:t>Demnach ist davon auszugehen, dass die Beschwerde ohne vorherige Auf- hebung des Mitteilungsverbots mutmasslich hätte gutgeheissen werden müssen. Damit ist von der Erhebung von Gerichtskosten abzusehen (Art. 245 BStP i.V.m. Art. 156 Abs. 2 OG), der geleistete Kostenvorschuss von Fr. 1'000.-- der Beschwerdeführerin zurückzuerstatten und die Beschwer- degegnerin zu einer Entschädigung an die Beschwerdeführerin zu ver- pflichten (Art. 245 BStP i.V.m. Art. 159 Abs. 2 OG). Diese ist auf Fr. 2’000.– festzusetzen (Art. 2 Abs. 1 und 3 Abs. 3 Reglement über die Entschädi- gungen in Verfahren vor dem Bundesstrafgericht; SR 173.711.31).</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