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BB.2005.71 vom 1. Februar 2006</w:t>
      </w:r>
    </w:p>
    <w:p>
      <w:r>
        <w:t>Bundesstrafgericht, 2006-02-01, FR</w:t>
      </w:r>
    </w:p>
    <w:p>
      <w:r>
        <w:rPr>
          <w:b/>
        </w:rPr>
        <w:t xml:space="preserve">Quelle: </w:t>
      </w:r>
      <w:r>
        <w:t>https://mcp.opencaselaw.ch/entscheid/bstger_BB.2005.71</w:t>
      </w:r>
    </w:p>
    <w:p>
      <w:r>
        <w:t>FR: TPF BB.2005.71 du 1 février 2006</w:t>
      </w:r>
    </w:p>
    <w:p>
      <w:r>
        <w:t>IT: TPF BB.2005.71 del 1 febbraio 2006</w:t>
      </w:r>
    </w:p>
    <w:p>
      <w:pPr>
        <w:pStyle w:val="Heading2"/>
      </w:pPr>
      <w:r>
        <w:t>Regeste</w:t>
      </w:r>
    </w:p>
    <w:p>
      <w:r>
        <w:t>Séquestre (65 PPF)</w:t>
      </w:r>
    </w:p>
    <w:p>
      <w:pPr>
        <w:pStyle w:val="Heading2"/>
      </w:pPr>
      <w:r>
        <w:t>Erwägungen</w:t>
      </w:r>
    </w:p>
    <w:p>
      <w:r>
        <w:rPr>
          <w:b/>
        </w:rPr>
        <w:t>E. 1.1</w:t>
      </w:r>
    </w:p>
    <w:p>
      <w:r>
        <w:t>La Cour des plaintes examine d'office et avec pleine cognition la recevabili- té des plaintes qui lui sont adressées (ATF 122 IV 188, 190 consid. 1 et ar- rêts cités).</w:t>
      </w:r>
    </w:p>
    <w:p>
      <w:r>
        <w:rPr>
          <w:b/>
        </w:rPr>
        <w:t>E. 1.2</w:t>
      </w:r>
    </w:p>
    <w:p>
      <w:r>
        <w:t>Aux termes des art. 214 ss PPF (applicables par renvoi de l'art. 105bis al. 2 PPF et en vertu de l'art. 28 al. 1 let. a LTPF), il peut être porté plainte contre les opérations ou les omissions du MPC. Le droit de plainte appar- tient aux parties, ainsi qu’à toute personne à qui l’opération ou l’omission a fait subir un préjudice illégitime (art. 214 al. 2 PPF). Lorsque la plainte con- cerne une opération du MPC, elle doit être déposée dans les cinq jours à compter de celui où le plaignant a eu connaissance de cette opération (art. 217 PPF). L’ordonnance contestée est datée du 17 juin 2005. La plainte, datée du 22 juin 2005, a été déposée dans le délai utile.</w:t>
      </w:r>
    </w:p>
    <w:p>
      <w:r>
        <w:rPr>
          <w:b/>
        </w:rPr>
        <w:t>E. 1.3</w:t>
      </w:r>
    </w:p>
    <w:p>
      <w:r>
        <w:t>La plaignante s'oppose notamment à la production de documents. Sur ce point sa plainte est irrecevable. En effet, l'obligation faite à une banque de produire des pièces relatives à un compte ouvert en ses livres constitue une perquisition de papiers au sens de l'art. 69 PPF, à laquelle seul le dé- tenteur des papiers, en l'occurrence la banque, est habilité à s'opposer (art.</w:t>
      </w:r>
    </w:p>
    <w:p>
      <w:r>
        <w:t>- 4 -</w:t>
      </w:r>
    </w:p>
    <w:p>
      <w:r>
        <w:t>69 ch. 3 PPF; arrêts du Tribunal pénal fédéral BB.2006.1 du 13 janvier 2006 et BV.2005.20 du 23 juin 2004 consid. 2.1.1 ). Pour le reste, il y a lieu d'entrer en matière.</w:t>
      </w:r>
    </w:p>
    <w:p>
      <w:r>
        <w:rPr>
          <w:b/>
        </w:rPr>
        <w:t>E. 2</w:t>
      </w:r>
    </w:p>
    <w:p>
      <w:r>
        <w:t>La plaignante soutient qu'elle n'a jamais eu d'activité commerciale et que les actifs figurant sur son compte sont constitués essentiellement par la for- tune familiale et les économies de son ayant-droit économique C. Les fonds n'auraient donc aucune origine délictueuse. Ces avoirs n'auraient de plus jamais été utilisés pour acquérir du pétrole irakien. Le MPC relève quant à lui que la plaignante est soupçonnée d'avoir versé des fonds en li- quide à G., ancien directeur du programme "pétrole contre nourriture", par l'intermédiaire de B., afin que le premier intervienne auprès de la SOMO pour que cette dernière attribue à F., société dont C. est également ayant- droit économique, des contrats d'acquisition de pétrole irakien. Le compte de la plaignante pourrait avoir reçu une partie du bénéfice correspondant à l'exécution de contrats pétroliers obtenus par le biais d'un acte de corrup- tion.</w:t>
      </w:r>
    </w:p>
    <w:p>
      <w:r>
        <w:rPr>
          <w:b/>
        </w:rPr>
        <w:t>E. 2.1</w:t>
      </w:r>
    </w:p>
    <w:p>
      <w:r>
        <w:t>Le séquestre prévu par l’art. 65 al. 1 PPF est une mesure provisoire (con- servatoire) qui permet la saisie de moyens de preuves, respectivement d'objets ou de valeurs qui pourraient faire l’objet d’une confiscation au sens de l’art. 59 CP. Une telle mesure présuppose l’existence de présomptions concrètes de culpabilité, même si, au début de l’enquête, un simple soup- çon peut suffire à justifier la saisie (HAUSER/SCHWERI/HARTMANN, Schwei- zerisches Strafprozessrecht, 6ème éd., Bâle 2005, p. 340 no 1; PIQUEREZ, Procédure pénale fédérale, Zurich 2000, no 2554). Il faut ainsi que des indi- ces suffisants permettent de suspecter que les valeurs patrimoniales ont servi à commettre une infraction ou en sont le produit, que les infractions aient été commises par leur détenteur ou par un tiers. La mesure doit par ailleurs reposer sur une base légale, être justifiée par un intérêt public suffi- sant et respecter le principe de la proportionnalité, comme toute autre me- sure de contrainte, même si l’autorité dispose à cet égard d’une grande marge d’appréciation (arrêt du Tribunal fédéral 1P.239/2002 du 9 août 2002 consid. 3.1; HAUSER/SCHWERI/HARTMANN, op. cit., p. 341 no 3 et p. 345 no 22). Le séquestre est proportionné lorsqu'il porte sur des avoirs dont on peut admettre qu'ils seront vraisemblablement confisqués en application du droit pénal (arrêt du Tribunal fédéral 1P.239/2002 du 9 août 2002 consid. 3.1). Tant que subsiste un doute sur la part des fonds qui pourrait provenir d'une activité criminelle, l'intérêt public commande qu'ils demeu- rent à la disposition de la justice (arrêt du Tribunal pénal fédéral BB.2005.28 du 7 juillet 2005 consid. 2; ATF 125 IV 222 consid. 2 non pu-</w:t>
      </w:r>
    </w:p>
    <w:p>
      <w:r>
        <w:t>- 5 -</w:t>
      </w:r>
    </w:p>
    <w:p>
      <w:r>
        <w:t>blié; 124 IV 313 consid. 3b et 4; SJ 1994 p. 97, 102). La confiscation peut viser non seulement l’auteur de l’infraction, mais également les tiers aux- quels l’auteur en a transféré les produits (art. 59 ch.1 al. 2 CP). La confis- cation est possible en Suisse, alors même que l’infraction a été commise à l’étranger, si les produits de l’infraction ont été blanchis en Suisse ou s’il existe une autre connexité avec la Suisse (arrêt du Tribunal pénal fédéral BB.2005.42 du 14 septembre 2005; ATF 128 IV 145).</w:t>
      </w:r>
    </w:p>
    <w:p>
      <w:r>
        <w:rPr>
          <w:b/>
        </w:rPr>
        <w:t>E. 2.2</w:t>
      </w:r>
    </w:p>
    <w:p>
      <w:r>
        <w:t>Il ressort des éléments du dossier que F. a signé avec la SOMO cinq contrats (les 24 septembre 1998, 29 juillet 1999, 11 janvier 2000, 15 août 2000 et 13 août 2001) portant sur l'acquisition de 7.8 mios de barils de pé- trole (pièce MPC 22 p. 4). Cet élément n'est pas contesté par la plaignante (act. 20). Or, selon l'ex-Ministre irakien du pétrole H., il est très improbable que F. ait pu acheter du pétrole sans l'intervention d'un allocataire (pièce MPC 1 p. 129), lequel est, selon toute vraisemblance, G. (pièce MPC 16). Il apparaît en effet que tous les contrats que F. a passé avec la SOMO l'ont été grâce à l'intervention décisive de l'ancien directeur du programme "pé- trole contre nourriture". Les contacts que F. avait pris de sa propre initiative avec l'Irak n'ont pas abouti (pièce MPC 1 p. 129 et 18 p. 5 ligne 8) et c'est uniquement dès que G. a sollicité des allocations de la part de la SOMO, en été 1998, que F. a pu conclure des contrats avec elle (pièce MPC 2 p. 26 à 32). F. a revendu le pétrole qu'elle s'était vu allouer dans ce contexte à I. et J. (pièce MPC 18 p. 6 lignes 24 et 25). A chaque fois qu'elle en a encaissé le prix de vente, elle a procédé à un versement sur le compte de K. Inc (no 7189916), dont l'ayant-droit économique est B., au- près de la banque L. à Genève (pièce 2 MPC p. 49). Selon C., ce sont ainsi US$ 530'000.-- au total qui auraient été versés à B. à titre de commission de courtage (act. 20). L'enquête du comité d'enquête indépendant de l'ONU a révélé que, systématiquement, très peu de temps après que son compte K. Inc eut été crédité dans ce contexte, B. en retirait des sommes importantes en liquide et, dans les jours qui suivaient, le compte de G. était crédité à son tour (pièce MPC 2 p. 49). Il existe donc de fortes présomp- tions que ce dernier s'est indûment fait payer pour que F. puisse conclure des contrats avec la SOMO, ce qui constituerait un acte de corruption, soit un crime au sens de l'art. 9 CP. Certes, la majeure partie des versements effectués en faveur de K. Inc, l'a été au débit du compte de F. et non de celui de la plaignante, sous réserve des deux commissions de Fr. 47'000.-- et de Fr. 41'691.-- versées à B. en novembre 1998 (pièces MPC 25 et 26). Il reste cependant qu'entre le 3 no- vembre 1998 et le 11 mai 1999 le compte TT. à la banque D. de la plai- gnante a été crédité de US$ 1'701'607.73 (pièce MPC 13) par la société M. (compte à la banque D. SS.), dont C. est également ayant-droit économi- que (pièce MPC 13). La plaignante explique que, ne déployant plus d'activi-</w:t>
      </w:r>
    </w:p>
    <w:p>
      <w:r>
        <w:t>- 6 -</w:t>
      </w:r>
    </w:p>
    <w:p>
      <w:r>
        <w:t>té commerciale, la société M. a transféré les quelque US$ 3 mios du compte dont elle était titulaire auprès de la banque N. LTD sur celui qu'elle détenait auprès de la banque D. à Genève, entre le 30 octobre et le 8 dé- cembre 1998. Elle précise que les US$ 1'701'607.73 lui ont été versés de- puis ce dernier compte dès novembre 1998 (pièce MPC 13 p. 2 et 3). Elle ne spécifie en revanche pas les raisons ayant présidé à ces versements. Par ailleurs, il apparaît que les fonds précités ont été transférés sur le compte de la plaignante à partir du moment où la première allocation de pétrole a été faite à F. puisque le contrat y relatif a été signé le 24 septembre 1998 et que le pétrole concerné, vendu aux compagnies I. et J., a été chargé les 19 et 22 novembre 1998 (pièce MPC 2 p. 30). Or, selon un document de la banque N. intitulé "profil client", le compte de M. en ses livres est un compte de passage des commissions touchées par C. dans le cadre de ses activités de trading dans le pétrole (pièce MPC 28). Selon une note du 26 octobre 1998 de O. de la banque D. à Genève, les commissions versées sur le compte de la banque N. devaient être immédiatement trans- férées sur le compte de la société M. à Genève (pièce MPC 28). Cela dé- montre qu'à cette époque, et en dépit des allégations de la plaignante selon laquelle la société M. ne déployait plus d'activité commerciale, C. savait qu'il allait percevoir de l'argent sur le compte de la banque N. dans le cadre de ses activités pétrolières. Il est dès lors vraisemblable que l'argent qui a été crédité sur le compte de la plaignante depuis celui de la société M. à Genève, lequel était alimenté par celui de la banque N., a pour origine les contrats passés entre F. et la SOMO, qui n'auraient pas pu être conclus sans l'intervention de G. Le fait de virer une partie des fonds provenant de ces contrats d'un compte de passage aux Bahamas dont la titulaire est une société qui n'était a priori pas directement impliquée dans la conclusion des contrats d'acquisition de pétrole irakien, sur un compte ouvert en Suisse au nom de cette société et, de là, les reverser sur celui de la plaignante est un indice d'un mécanisme destiné à entraver l'identification et la découverte des fonds et ainsi de constituer des actes de blanchiment. En outre, bien que la plaignante ait invoqué le fait qu'elle n'avait jamais procédé à des opérations commerciales depuis son compte en lien avec le programme "pétrole contre nourriture", il ressort notamment des pièces du dossier que les deux premières commissions versées à B. dans ce contexte l'ont été au débit du compte de la Fondation A. (pièces MPC 3 annexe G et H et 25 et 26). De plus, en septembre 2000 et janvier 2001 des virements pour un montant total de US$ 175'000.-- ont été effectués du compte de la plai- gnante en faveur d'un certain P., aussi connu sous le nom de Q. (pièces MPC 33 a et b et 18 p. 9). Lors de son audition du 29 septembre 2005, C. a varié dans ses déclarations quant à l'appartenance de Q. à la SOMO. Il reste que le 13 août 2001, il s'était engagé auprès de cette dernière à ver-</w:t>
      </w:r>
    </w:p>
    <w:p>
      <w:r>
        <w:t>- 7 -</w:t>
      </w:r>
    </w:p>
    <w:p>
      <w:r>
        <w:t>ser une surcharge pour le contrat passé avec elle en août 2000 (pièce MPC 17), ce qui, comme le souligne le MPC, était une démarche illégale. Lors de son interrogatoire du 29 septembre 2005, C. a d'ailleurs admis avoir versé une surcharge en faveur de Q. par le biais du compte de la plaignante pensant que ce dernier avait de l'influence sur la SOMO et que les sommes qu'il lui payait seraient déduites de ladite surcharge (pièce MPC 19 p 6 et 7). Compte tenu de ce qui précède et des zones d'ombre qui subsistent dans les relations entre C., la plaignante, F. et la société M. ainsi que leur implication respective dans les transactions pétrolières opérées en violation du programme "pétrole contre nourriture", il se justifie de maintenir le séquestre querellé.</w:t>
      </w:r>
    </w:p>
    <w:p>
      <w:r>
        <w:rPr>
          <w:b/>
        </w:rPr>
        <w:t>E. 3.1</w:t>
      </w:r>
    </w:p>
    <w:p>
      <w:r>
        <w:t>La plaignante considère que la mesure prononcée est disproportionnée et estime que, le cas échéant, seul un montant total de US$ 2'200'000.-- pour- rait faire l'objet du séquestre. Elle précise à cet égard avoir proposé au MPC une garantie bancaire portant sur une somme équivalente, mais que celui-ci ne s'est pas prononcé à ce sujet. Ce dernier souligne quant à lui avoir procédé à deux levées partielles de séquestre, le total des fonds res- tant bloqués au 25 janvier 2006 se montant à US$ 2,5 mios. Il relève que les sommes correspondant aux commissions et surcharges versées par C., respectivement F., ainsi que les bénéfices liés à l'acquisition de pétrole ira- kien restent litigieux.</w:t>
      </w:r>
    </w:p>
    <w:p>
      <w:r>
        <w:rPr>
          <w:b/>
        </w:rPr>
        <w:t>E. 3.2</w:t>
      </w:r>
    </w:p>
    <w:p>
      <w:r>
        <w:t>Le 13 septembre 2005, le MPC est entré en matière sur la demande de le- vée partielle du séquestre que la plaignante lui a soumise et qu'il estimait justifiée, libérant de fait la moitié des fonds séquestrés. Dans sa réponse du 28 octobre 2005, il s'est de plus déclaré prêt à réexaminer à tout mo- ment une nouvelle demande de levée de la mesure contestée (act. 18 p. 25). Le 25 janvier 2006, il a ordonné une nouvelle levée partielle de sé- questre, maintenant celui-ci sur un montant total d'environ US$ 2.5 mios (act. 22.1), qui correspond aux sommes dont la légitimité n'a pas encore pu être déterminée. Il respecte en cela le principe de proportionnalité qui exige que la situation soit régulièrement revue en fonction des nouveaux élé- ments qui pourraient apparaître en cours de procédure (arrêt du Tribunal pénal fédéral BB.2005.24 du 21 juillet 2005 consid. 4.3). La plaignante ne fait pas valoir un intérêt privé qui l'emporterait sur l'intérêt public à établir toute la vérité sur des infractions que l'on peut qualifier de graves. Elle n'a en particulier jamais démontré que le séquestre litigieux l'empêcherait de mener à bien ses activités commerciales ou la menacerait dans son exis- tence même. Certes, en juillet 2005, la plaignante a proposé en lieu et</w:t>
      </w:r>
    </w:p>
    <w:p>
      <w:r>
        <w:t>- 8 -</w:t>
      </w:r>
    </w:p>
    <w:p>
      <w:r>
        <w:t>place du séquestre une garantie bancaire de US$ 700'000.-- (pièces MPC 11 et 13). Le MPC lui a toutefois rétorqué le 2 août 2005 n'avoir pas suffi- samment d'informations pour pouvoir prendre une décision à ce sujet (pièce MPC 12). La plaignante indique par ailleurs dans sa réplique avoir reformulé sa proposition de garantie bancaire en la portant à US$ 2'200'000 mais n'avoir reçu aucune réponse à cet égard. Du point de vue de la proportionnalité une garantie bancaire pourrait constituer une mesure de substitution au séquestre envisageable (arrêt du Tribunal fédé- ral 1S.33/2005 du 5 décembre 2005 consid. 2.4). Il faudrait cependant pour cela pouvoir établir avec certitude à quelle somme il conviendrait de la fixer. Or, les variations importantes dans les montants proposés à ce titre par la plaignante et les incertitudes qui demeurent d'une part quant aux montants encaissés et versés par la Fondation A. et, d'autre part, sur les motifs de ces opérations, ne l'ont pas permis jusqu'ici. Ce n'est d'ailleurs que suite à l'audition de C. du 18 janvier 2006 que le MPC a pu disposer des éléments complémentaires suffisants pour décider d'une nouvelle le- vée partielle de séquestre. Le montant encore bloqué aujourd'hui est pro- che de la garantie bancaire proposée (act. 20). Compte tenu des récents développements, les parties devront déterminer si la proposition y relative formulée par la plaignante reste d'actualité et si elle est envisageable. En- fin, dans cette affaire, le MPC n'est pas resté inactif, adressant notamment des commissions rogatoires aux autorités de Jordanie et des Emirats Ara- bes Unis (act. 18 p. 23) et interrogeant plusieurs fois C. L'enquête avance avec la célérité requise. Il lui appartiendra d'établir si les fonds séquestrés devront être confisqués comme produit des infractions reprochées à C. ou à titre de créance compensatrice ou encore s'ils devront être libérés. Pour l'heure, le séquestre doit être maintenu.</w:t>
      </w:r>
    </w:p>
    <w:p>
      <w:r>
        <w:rPr>
          <w:b/>
        </w:rPr>
        <w:t>E. 4</w:t>
      </w:r>
    </w:p>
    <w:p>
      <w:r>
        <w:t>En résumé, les mesures prises par le MPC satisfont aux exigences de base légale, d'intérêt public et de proportionnalité. La plainte doit ainsi être rejetée dans toutes ses conclusions.</w:t>
      </w:r>
    </w:p>
    <w:p>
      <w:r>
        <w:rPr>
          <w:b/>
        </w:rPr>
        <w:t>E. 5</w:t>
      </w:r>
    </w:p>
    <w:p>
      <w:r>
        <w:t>Selon l’art. 156 al. 1 OJ, applicable par renvoi de l’art. 245 PPF la partie qui succombe est tenue au paiement des frais. Ceux-ci se limitent en l’espèce à un émolument qui, en application de l’art. 3 du règlement fixant les émo- luments judiciaires perçus par le Tribunal pénal fédéral du 11 février 2004, (RS 173.711.32), sera fixé à Fr. 2'000.--, sous déduction de l'avance de frais de Fr. 1000.-- effectuée par la plaignante.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