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BB.2005.69 vom 1. Februar 2006</w:t>
      </w:r>
    </w:p>
    <w:p>
      <w:r>
        <w:t>Bundesstrafgericht, 2006-02-01, FR</w:t>
      </w:r>
    </w:p>
    <w:p>
      <w:r>
        <w:rPr>
          <w:b/>
        </w:rPr>
        <w:t xml:space="preserve">Quelle: </w:t>
      </w:r>
      <w:r>
        <w:t>https://mcp.opencaselaw.ch/entscheid/bstger_BB.2005.69</w:t>
      </w:r>
    </w:p>
    <w:p>
      <w:r>
        <w:t>FR: TPF BB.2005.69 du 1 février 2006</w:t>
      </w:r>
    </w:p>
    <w:p>
      <w:r>
        <w:t>IT: TPF BB.2005.69 del 1 febbraio 2006</w:t>
      </w:r>
    </w:p>
    <w:p>
      <w:pPr>
        <w:pStyle w:val="Heading2"/>
      </w:pPr>
      <w:r>
        <w:t>Regeste</w:t>
      </w:r>
    </w:p>
    <w:p>
      <w:r>
        <w:t>Séquestre et production de documents (art. 65 et 69 PPF)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du règlement du 11 février 2004 fixant les émoluments judiciaires perçus par le Tribunal pénal fédéral (RS 173.711.32), un émolument de Fr. 1'000.--, dont à déduire l'avance de frais acquittée, est mis à la charge du plaignant.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