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BB.2005.42 vom 14. September 2005</w:t>
      </w:r>
    </w:p>
    <w:p>
      <w:r>
        <w:t>Bundesstrafgericht, 2005-09-14, FR</w:t>
      </w:r>
    </w:p>
    <w:p>
      <w:r>
        <w:rPr>
          <w:b/>
        </w:rPr>
        <w:t xml:space="preserve">Quelle: </w:t>
      </w:r>
      <w:r>
        <w:t>https://mcp.opencaselaw.ch/entscheid/bstger_BB.2005.42</w:t>
      </w:r>
    </w:p>
    <w:p>
      <w:r>
        <w:t>FR: TPF BB.2005.42 du 14 septembre 2005</w:t>
      </w:r>
    </w:p>
    <w:p>
      <w:r>
        <w:t>IT: TPF BB.2005.42 del 14 settembre 2005</w:t>
      </w:r>
    </w:p>
    <w:p>
      <w:pPr>
        <w:pStyle w:val="Heading2"/>
      </w:pPr>
      <w:r>
        <w:t>Regeste</w:t>
      </w:r>
    </w:p>
    <w:p>
      <w:r>
        <w:t>Ordonnance de levée d'un séquestre (art. 65 PPF)</w:t>
      </w:r>
    </w:p>
    <w:p>
      <w:pPr>
        <w:pStyle w:val="Heading2"/>
      </w:pPr>
      <w:r>
        <w:t>Erwägungen</w:t>
      </w:r>
    </w:p>
    <w:p>
      <w:r>
        <w:rPr>
          <w:b/>
        </w:rPr>
        <w:t>E. 1.1</w:t>
      </w:r>
    </w:p>
    <w:p>
      <w:r>
        <w:t>La Cour des plaintes examine d'office et en toute cognition la recevabilité des plaintes qui lui sont adressées (ATF 122 IV 188 consid. 1 p. 190 et ar- rêts cités).</w:t>
      </w:r>
    </w:p>
    <w:p>
      <w:r>
        <w:rPr>
          <w:b/>
        </w:rPr>
        <w:t>E. 1.2</w:t>
      </w:r>
    </w:p>
    <w:p>
      <w:r>
        <w:t>Aux termes des art. 214 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 cerne une opération du MPC, elle doit être déposée dans les cinq jours à compter de celui où le plaignant a eu connaissance de cette opération (art. 217 PPF).</w:t>
      </w:r>
    </w:p>
    <w:p>
      <w:r>
        <w:t>- 4 -</w:t>
      </w:r>
    </w:p>
    <w:p>
      <w:r>
        <w:t>L'ordonnance querellée a été expédiée le 23 mai 2005 à la plaignante qui l'a reçue le 24. Postée le lundi 30 mai 2005 et émanant d'une partie civile, la plainte a été faite en temps utile. Elle est recevable en la forme.</w:t>
      </w:r>
    </w:p>
    <w:p>
      <w:r>
        <w:rPr>
          <w:b/>
        </w:rPr>
        <w:t>E. 2.1</w:t>
      </w:r>
    </w:p>
    <w:p>
      <w:r>
        <w:t>Le séquestre prévu par l’art. 65 ch. 1 PPF est une mesure provisoire (conservatoire) qui permet la saisie de moyens de preuves, respectivement d'objets ou de valeurs qui pourraient faire l’objet d’une confiscation au sens de l’art. 59 CP. Une telle mesure présuppose l’existence de présomptions concrètes de culpabilité, même si, au début de l’enquête, un simple soup- çon peut suffire à justifier la saisie (HAUSER/SCHWERI/HARTMANN, Schwei- zerisches Strafprozessrecht, 6ème éd., Bâle 2005, p. 340 no 1; PIQUEREZ, Procédure pénale fédérale, Zurich 2000, no 2554). Il faut ainsi que des indi- ces suffisants permettent de suspecter que les valeurs patrimoniales ont servi à commettre une infraction ou en sont le produit, que les infractions aient été commises par leur détenteur ou par un tiers.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principe de la pro- portionnalité, comme toute autre mesure de contrainte, même si l’autorité dispose à cet égard d’une grande marge d’appréciation (arrêt du Tribunal fédéral 1P.239/2002 du 9 août 2002 consid. 3.1; HAU- SER/SCHWERI/HARTMANN, op. cit., p. 341 no 3 et p. 345 no 22). Le séquestre est proportionné lorsqu'il porte sur des avoirs dont on peut admettre qu'ils seront vraisemblablement confisqués en application du droit pénal (arrêt du Tribunal fédéral 1P.239/2002 du 9 août 2002 consid. 3.1). En tant que sim- ple mesure procédurale provisoire, il ne préjuge toutefois pas de la décision matérielle de confiscation. Au contraire du juge du fond, la Cour des plain- tes du Tribunal pénal fédéral n’a pas à examiner les questions de fait et de droit de manière définitive (ATF 124 IV 313, 316 consid. 4; 120 IV 365, 366 ss consid. 1c; arrêt du Tribunal fédéral 8G.12/2003 du 22 avril 2003 consid. 5). Tant que subsiste un doute sur la part des fonds qui pourrait provenir d'une activité criminelle, l'intérêt public commande qu'ils demeurent à la disposition de la justice (arrêt du Tribunal pénal fédéral BB.2005.28 du 7 juillet 2005 consid. 2; ATF 125 IV 222 consid. 2 non publié; 124 IV 313 consid. 3b et 4; SJ 1994 p. 97, 102). La confiscation peut viser non seule- ment l’auteur de l’infraction, mais également les tiers auxquels l’auteur en a</w:t>
      </w:r>
    </w:p>
    <w:p>
      <w:r>
        <w:t>- 5 -</w:t>
      </w:r>
    </w:p>
    <w:p>
      <w:r>
        <w:t>transféré les produits (art. 59 ch.1 al. 2 CP). La confiscation est possible en Suisse, alors même que l’infraction a été commise à l’étranger, si les pro- duits de l’infraction ont été blanchis en Suisse ou s’il existe une autre connexité avec la Suisse (ATF 128 IV 145).</w:t>
      </w:r>
    </w:p>
    <w:p>
      <w:r>
        <w:rPr>
          <w:b/>
        </w:rPr>
        <w:t>E. 2.2</w:t>
      </w:r>
    </w:p>
    <w:p>
      <w:r>
        <w:t>En l’espèce, les comptes litigieux ont été séquestrés en vue de leur confis- cation. Il ressort du dossier qu’à leur ouverture, en 1999, l’ayant droit éco- nomique désigné était une personne qui fait aujourd’hui l’objet de poursui- tes pénales dans différents Etats pour des infractions ayant causé un pré- judice considérable à de nombreux établissements bancaires, y compris en Suisse. Selon le dossier de F., les valeurs déposées sur les comptes pour- raient appartenir économiquement à la société plaignante, actuellement en liquidation, dont les dirigeants sont précisément accusés d’être les auteurs des infractions susdites. Il existe donc des indices manifestes que les va- leurs séquestrées pourraient provenir des infractions imputées à B. et aux autres dirigeants de A.. G. apparaîtrait ainsi comme un tiers au sens de l’art. 59 CP, en mains duquel une confiscation est possible si ce tiers n’a pas agi de bonne foi ou s’il n’a pas fourni de contreprestation adéquate (art. 59 ch.1 al. 2 CP). La compétence des autorités suisses pour confisquer les valeurs litigieuses n’est donc pas d’emblée exclue. L’ouverture de comptes bancaires en Suisse, au nom d’une société de domicile, et le transfert du produit d’une escroquerie sur un tel compte pourraient en effet tomber sous le coup de l’art. 305bis CP. De même, le for suisse peut être envisagé pour les faits dénoncés par E.</w:t>
      </w:r>
    </w:p>
    <w:p>
      <w:r>
        <w:rPr>
          <w:b/>
        </w:rPr>
        <w:t>E. 2.3</w:t>
      </w:r>
    </w:p>
    <w:p>
      <w:r>
        <w:t>S'ils sont déterminants pour légitimer le séquestre conservatoire des comp- tes litigieux, ces indices ne sauraient en revanche suffire pour fonder une mesure de confiscation. L’enquête aurait dû dès lors tendre à les confirmer ou à les infirmer en s’attelant à déterminer précisément l’origine et la cause des versements qui constituent les valeurs séquestrées. Or tel ne semble pas avoir été le cas. Si bon nombre de démarches ont été accomplies, le dossier n'indique en effet pas que des investigations auraient été effec- tuées à ce sujet. Plus précisément, et contrairement à ce que semble sou- tenir le MPC, les analyses confiées à la police judiciaire fédérale ne concer- nent pas les comptes ouverts chez F.. Aucun témoin n’a été entendu à ce propos et les commissions rogatoires adressées à l’étranger ne mention- nent pas la société G. Le collaborateur de F. qui gérait les comptes n’a pas non plus été entendu, pas plus que la personne qui disposait de la signa- ture au sein de la société et donnait les instructions à la banque, alors même que celle-ci réside à Londres et que les autorités anglaises sem- blent, en l’espèce, avoir fait part de leur volonté de coopérer. Aucune pièce du dossier n'indique non plus si B. a été entendu au sujet de ces comptes et sur l’origine des valeurs qui y ont été déposées. En bref, rien ne paraît</w:t>
      </w:r>
    </w:p>
    <w:p>
      <w:r>
        <w:t>- 6 -</w:t>
      </w:r>
    </w:p>
    <w:p>
      <w:r>
        <w:t>avoir été entrepris pour confirmer ou infirmer les indices qui ont justifié le séquestre initial. Pour sa part, la plaignante n’a pas requis d’actes d’enquête propres à établir la vérité sur l’origine des valeurs déposées chez F., se contentant de l’affirmation toute générale selon laquelle ces valeurs seraient le produit des crimes commis par ses anciens dirigeants.</w:t>
      </w:r>
    </w:p>
    <w:p>
      <w:r>
        <w:rPr>
          <w:b/>
        </w:rPr>
        <w:t>E. 2.4</w:t>
      </w:r>
    </w:p>
    <w:p>
      <w:r>
        <w:t>Si la levée des séquestres était requise par la titulaire des comptes, ces ca- rences devraient sans doute conduire à accéder à sa demande, vu le temps écoulé depuis le prononcé de la mesure. Tel n’est toutefois pas le cas. Alors que les comptes sont bloqués depuis plus de trois ans, les orga- nes de G. semblent ne s'être jamais manifestés, ce dont il est permis de déduire que le séquestre n'occasionne pas de préjudice notable à la socié- té et que celle-ci n'a pas d'intérêt particulier à sa levée. La mesure, dont la levée paraît en l'état prématurée, peut donc être maintenue sans qu'il y ait une violation du principe de la proportionnalité, même si, en regard des es- croqueries qu'il est reproché à B. d'avoir commises (300 millions de dollars américains) ou du préjudice allégué par E. (49 millions de dollars), le mon- tant ne paraît pas peser d'un poids véritablement significatif. C’est le lieu de rappeler que la confiscation est une mesure qui n’est pas laissée à la libre appréciation de l’autorité de poursuite. Lorsque les conditions de l’art. 59 CP sont remplies, elle doit être requise et ordonnée (SCHMID, Kommentar Einziehung, organisiertes Verbrechen, Geldwäscherei, Vol. I, Zurich 1998, n° 11 ad art. 59 CP). L’autorité de poursuite ne peut dès lors se prévaloir de sa propre inaction pour renoncer à une mesure qui pourrait à terme bé- néficier à l’Etat ou aux lésés, alors que l'enquête n'a pas encore été menée à chef s'agissant de ces comptes. Le séquestre pénal ne saura toutefois remplacer les mesures qui pourraient être prises en application de la loi sur la poursuite pour dettes et la faillite, et qu'il appartiendra à la plaignante d'étudier.</w:t>
      </w:r>
    </w:p>
    <w:p>
      <w:r>
        <w:rPr>
          <w:b/>
        </w:rPr>
        <w:t>E. 3</w:t>
      </w:r>
    </w:p>
    <w:p>
      <w:r>
        <w:t>Pour l'ensemble de ces motifs, la plainte doit donc être admise. L'ordon- nance du 23 mai 2005 est annulée et le MPC invité à compléter son en- quête.</w:t>
      </w:r>
    </w:p>
    <w:p>
      <w:r>
        <w:rPr>
          <w:b/>
        </w:rPr>
        <w:t>E. 4.1</w:t>
      </w:r>
    </w:p>
    <w:p>
      <w:r>
        <w:t>Selon l’art.156 al.1er OJ, applicable par renvoi de l’art. 245 PPF, la partie qui succombe est en règle générale tenue au paiement des frais. La plai- gnante a obtenu gain de cause, de sorte que l'avance de frais dont elle s'est acquittée lui est restituée. En sa qualité d'autorité, par contre, le MPC ne peut voir des frais mis à sa charge (156 al. 2 OJ).</w:t>
      </w:r>
    </w:p>
    <w:p>
      <w:r>
        <w:t>- 7 -</w:t>
      </w:r>
    </w:p>
    <w:p>
      <w:r>
        <w:rPr>
          <w:b/>
        </w:rPr>
        <w:t>E. 4.2</w:t>
      </w:r>
    </w:p>
    <w:p>
      <w:r>
        <w:t>A teneur de l'art. 159 OJ, le tribunal décide, en statuant sur la contestation elle-même, si et dans quelle mesure les frais de la partie qui obtient gain de cause seront supportés par celle qui succombe. La plaignante a droit à une indemnité équitable pour les frais indispensables qui lui ont été occasion- nés par le litige. Son mandataire n'a pas déposé de mémoire d'honoraires. Lorsque l’avocat ne fait pas parvenir le décompte de ses prestations avant la clôture des débats ou dans le délai fixé par le tribunal, celui-ci fixe les honoraires selon sa propre appréciation (art. 3 al. 3 du règlement sur les dépens et indemnités alloués devant le Tribunal pénal fédéral; RS 173.711.31). En l'espèce, une indemnité de fr. 1'500.-- (TVA comprise) paraît justifiée.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