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BB.2005.28 vom 7. Juli 2005</w:t>
      </w:r>
    </w:p>
    <w:p>
      <w:r>
        <w:t>Bundesstrafgericht, 2005-07-07, IT</w:t>
      </w:r>
    </w:p>
    <w:p>
      <w:r>
        <w:rPr>
          <w:b/>
        </w:rPr>
        <w:t xml:space="preserve">Quelle: </w:t>
      </w:r>
      <w:r>
        <w:t>https://mcp.opencaselaw.ch/entscheid/bstger_BB.2005.28</w:t>
      </w:r>
    </w:p>
    <w:p>
      <w:r>
        <w:t>FR: TPF BB.2005.28 du 7 juillet 2005</w:t>
      </w:r>
    </w:p>
    <w:p>
      <w:r>
        <w:t>IT: TPF BB.2005.28 del 7 luglio 2005</w:t>
      </w:r>
    </w:p>
    <w:p>
      <w:pPr>
        <w:pStyle w:val="Heading2"/>
      </w:pPr>
      <w:r>
        <w:t>Regeste</w:t>
      </w:r>
    </w:p>
    <w:p>
      <w:r>
        <w:t>Sequestro di immobili a fini di confisca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Giusta l’art. 105bis cpv. 2 PP gli atti e le omissioni del procuratore generale della Confederazione possono essere impugnati con ricorso alla Corte dei reclami penali del Tribunale penale federale, seguendo le prescrizioni pro- cedurali degli art. 214-219 PP.</w:t>
      </w:r>
    </w:p>
    <w:p>
      <w:r>
        <w:rPr>
          <w:b/>
        </w:rPr>
        <w:t>E. 1.2</w:t>
      </w:r>
    </w:p>
    <w:p>
      <w:r>
        <w:t>Il termine di ricorso entro il quale impugnare un atto o un’omissione del procuratore generale della Confederazione è di cinque giorni a contare dal giorno in cui il ricorrente ne ha avuto conoscenza (art. 217 PP per analo- gia). In concreto, l’ordine di sequestro impugnato è datato 6 aprile 2005; i qui reclamanti hanno però preso formale conoscenza del provvedimento solo il 18 aprile successivo, presso lo studio legale del loro comune patro- cinatore legale (v. act. 1.2). Il termine per interporre reclamo ai sensi dell’art. 217 PP scadeva sabato 23 aprile 2005, protratto al primo giorno fe- riale seguente giusta l’art. 32 cpv. 2 OG. Introdotto lunedì 25 aprile 2005, il rimedio è pertanto tempestivo.</w:t>
      </w:r>
    </w:p>
    <w:p>
      <w:r>
        <w:rPr>
          <w:b/>
        </w:rPr>
        <w:t>E. 1.3</w:t>
      </w:r>
    </w:p>
    <w:p>
      <w:r>
        <w:t>I reclamanti, in quanto proprietari degli immobili in questione (v. estratti RFD in act. 1.3), sono senz’altro legittimati a contestare il sequestro, giac- ché direttamente toccati dal provvedimento coercitivo ordinato dal MPC (art. 214 cpv. 2 PP).</w:t>
      </w:r>
    </w:p>
    <w:p>
      <w:r>
        <w:rPr>
          <w:b/>
        </w:rPr>
        <w:t>E. 1.4</w:t>
      </w:r>
    </w:p>
    <w:p>
      <w:r>
        <w:t>Il reclamo è esclusivamente diretto contro la decisione del 6 aprile 2005 nella misura in cui il MPC ha disposto il sequestro e il blocco del registro fondiario di tre immobili che appartengono rispettivamente ai due figli e alla moglie dell’indagato (foglio PPP 22208 del fondo base n. 237 RFD di Z.______, appartenente a A.______; fondo n. 661 RFD di R.______, ap- partenente a B.______; foglio PPP 22940 del fondo base n. 333 RFD di Vi- co T.______, appartenente a C.______). E’ quindi da ritenere che il grava- me non riguardi il fondo n. 1428 RFD di S.______, né il foglio PPP 20662 del fondo base n. 762 RFD di Y.______, anch’essi oggetto della decisione impugnata. Le censure ricorsuali saranno di conseguenza esaminate solo in relazione ai beni immobili esplicitamente menzionati nel reclamo.</w:t>
      </w:r>
    </w:p>
    <w:p>
      <w:r>
        <w:rPr>
          <w:b/>
        </w:rPr>
        <w:t>E. 1.5</w:t>
      </w:r>
    </w:p>
    <w:p>
      <w:r>
        <w:t>La decisione impugnata è stata redatta in italiano, anche se la lingua scelta per l’istruzione del procedimento riguardante D.______ e gli altri co- imputati è il tedesco. L’art. 37 cpv.</w:t>
      </w:r>
    </w:p>
    <w:p>
      <w:r>
        <w:rPr>
          <w:b/>
        </w:rPr>
        <w:t>E. 3</w:t>
      </w:r>
    </w:p>
    <w:p>
      <w:r>
        <w:t>CP deve essere applicato in modo restrittivo, e questo per rispettare la compatibilità della presunzione in materia di prova con le esigenze poste dall’art. 6 n. 2 CEDU (FF 1993 III 229).</w:t>
      </w:r>
    </w:p>
    <w:p>
      <w:r>
        <w:rPr>
          <w:b/>
        </w:rPr>
        <w:t>E. 3.1</w:t>
      </w:r>
    </w:p>
    <w:p>
      <w:r>
        <w:t>Decisamente contestata è invece l’applicazione al caso concreto del dispo- sto di cui all’art. 59 n. 3 CP, per il quale possono essere sequestrati in vista di confisca tutti i beni patrimoniali appartenenti ad una persona che abbia partecipato o sostenuto un’organizzazione criminale, atteso che i valori pa- trimoniali appartenenti a questa persona sono presunti sottoposti – fino a prova del contrario – alla facoltà di disporre dell’organizzazione medesima (v. consid. 2, supra). Per i reclamanti la presunzione contenuta in questo articolo è infatti rivolta in modo chiaro e puntuale solo verso la persona dell’imputato e non può essere automaticamente estesa ai suoi parenti prossimi. Essi sostengono che né il loro genitore rispettivamente marito, né l’organizzazione criminale che avrebbe sostenuto, avrebbero la benché mi- nima possibilità di disporre degli immobili in oggetto, di cui sono peraltro di- venuti legittimi proprietari ben prima dell’inizio dell’inchiesta penale in que- stione.</w:t>
      </w:r>
    </w:p>
    <w:p>
      <w:r>
        <w:t>- 6 -</w:t>
      </w:r>
    </w:p>
    <w:p>
      <w:r>
        <w:rPr>
          <w:b/>
        </w:rPr>
        <w:t>E. 3.1.1</w:t>
      </w:r>
    </w:p>
    <w:p>
      <w:r>
        <w:t>Oggetti e valori patrimoniali che sottostanno presumibilmente a confisca possono essere sequestrati giusta l’art. 65 PP presso qualsiasi loro pos- sessore; il sequestro è quindi possibile sia nei confronti di beni appartenenti al presumibile autore del reato implicato nel procedimento sia di quelli de- tenuti da terze persone, fisiche o giuridiche che siano, sempre che questi ultimi non siano protetti dall’art. 59 n. 1 cpv. 2 CP (v. sentenza del Tribuna- le penale federale BB.2004.79 del 22 aprile 2005 consid. 5.2; N. SCHMID, in N. SCHMID [ed.], in: Kommentar Einziehung, organisiertes Verbrechen und Geldwäscherei, Tomo I, Zurigo 1998, N. 142 e N. 144 ad art. 59 CP). Se- condo quest’ultima disposizione, la confisca (e quindi il sequestro) non può infatti essere ordinata se il terzo ha acquisito i valori patrimoniali ignorando i fatti che l’avrebbero giustificata, nella misura in cui abbia fornito una con- troprestazione adeguata o se la confisca risultasse sproporzionata. Giova comunque osservare che il sequestro è una misura puramente provvisoria, e non pregiudica la decisione in merito alla confisca (DTF 120 IV 365 con- sid. 1c; BAUMANN, in NIGGLI/WIPRÄCHTIGER, Basler Kommentar, Strafgese- tztbuch I, Basilea 2002, n. 74 ad art. 59 CP); di norma spetta infatti al giudi- ce di merito pronunciare le misure definitive e determinare i diritti dei terzi sui beni in questione (v. sentenza del Tribunale penale federale BK_B 181/04 del 10 marzo 2005 consid. 3.2.1; SCHMID, op. cit., n. 142 ad art. 59 CP in relazione con n. 84 ad art. 58 CP; PIQUEREZ, op. cit., n. 2578).</w:t>
      </w:r>
    </w:p>
    <w:p>
      <w:r>
        <w:rPr>
          <w:b/>
        </w:rPr>
        <w:t>E. 3.1.2</w:t>
      </w:r>
    </w:p>
    <w:p>
      <w:r>
        <w:t>In concreto è pacifico che i beni in questione non appartengono direttamen- te alla persona indagata e sospettata di aver sostenuto un’organizzazione criminale dedita al contrabbando internazionale di sigarette e al riciclaggio dei proventi di questa attività illecita. Gli estratti del registro fondiario pro- dotti con il reclamo (act. 1.3) provano senza ombra di dubbio la titolarità dei reclamanti sui beni in oggetto, acquisiti tramite compravendite o esercizio del diritto di compera rispettivamente nel 1997 (C.______), 2001 (A.______) e 2002 (B.______). Pure incontestato è il fatto che l’autorità in- quirente non ha sinora considerato come sospettati del reato associativo di cui all’art. 260ter CP la moglie e i due figli dell’imputato.</w:t>
      </w:r>
    </w:p>
    <w:p>
      <w:r>
        <w:t>Il MPC ritiene però che l’imputato (e per il suo tramite, l’organizzazione cri- minale a cui è sospettato appartenere) conservi una facoltà di disposizione degli immobili litigiosi, facendo notare come egli abbia acquistato questi beni attingendo a fondi personali di dubbia provenienza per poi donarli alla moglie e ai rispettivi figli.</w:t>
      </w:r>
    </w:p>
    <w:p>
      <w:r>
        <w:rPr>
          <w:b/>
        </w:rPr>
        <w:t>E. 3.2</w:t>
      </w:r>
    </w:p>
    <w:p>
      <w:r>
        <w:t>La definizione della facoltà di disposizione è contenuta nel Messaggio del 7 settembre 1993 concernente la modifica del Codice penale, modifica che aveva portato all’introduzione dell’art. 59 n. 3 CP tra le norme sulla confisca</w:t>
      </w:r>
    </w:p>
    <w:p>
      <w:r>
        <w:t>- 7 -</w:t>
      </w:r>
    </w:p>
    <w:p>
      <w:r>
        <w:t>(FF 1993 III 193 e segg.). Per il legislatore, la facoltà di disporre “è appa- rentata segnatamente alla nozione di disponibilità (…). Disponibilità è in ta- le contesto definita come il potere effettivo esercitato sulla cosa, confor- memente alle norme della vita in società; essa implica necessariamente la volontà e la possibilità di disporre della cosa. L’effettiva facoltà di disporre è data fintanto che l’interessato ha accesso alla cosa e sa dove la stessa si trova. Anche se l’oggetto è stato affidato ad un'altra persona, ad esempio allo scopo di conservarlo o amministrarlo, non è dato necessariamente il trasferimento della facoltà di disporre: è in effetti possibile la disponibilità collettiva di più persone su un unico e solo oggetto. La volontà di possede- re è l’intenzione di esercitare la padronanza su una cosa in funzione della possibilità effettiva” (FF 1993 III 227). E’ esclusa da tale nozione la possibi- lità di disporre dei beni in questione utilizzando mezzi illeciti quali la coazio- ne o il ricatto (FF 1993 III 228). Il Messaggio segnala inoltre che l’art. 59 n.</w:t>
      </w:r>
    </w:p>
    <w:p>
      <w:r>
        <w:rPr>
          <w:b/>
        </w:rPr>
        <w:t>E. 3.3</w:t>
      </w:r>
    </w:p>
    <w:p>
      <w:r>
        <w:t>Alla luce di queste precisazioni, nella fattispecie non è ben dato di vedere in quale modo l’indagato avrebbe l’effettiva facoltà di disporre degli immobili appartenenti ai figli A.______ e B.______, utilizzati da questi a titolo di abi- tazione primaria o secondaria. Pur nell’ipotesi in cui egli abbia accesso a queste abitazioni, è escluso che possa ancora esercitare una “padronanza” o una “volontà di possedere” lecita nel senso sopra indicato su detti beni, intestati a persone maggiorenni dotate di piena facoltà di disporre. Più deli- cata è la questione riguardante l’immobile di proprietà della moglie, che è probabilmente utilizzato anche dal marito (dagli atti non è chiaro). Va tutta- via notato che il fondo è formalmente intestato alla moglie nei pubblici regi- stri e che ogni atto riguardante l’oggetto deve quindi necessariamente sot- tostare alla volontà di disporre del suo (unico) proprietario; anche in questo caso fa quindi difetto la volontà, ma soprattutto la possibilità di esercitare – a proprio piacimento – un’effettiva padronanza sulla cosa. Diverso sarebbe stato invece il caso in cui l’indagato avrebbe intestato gli immobili in que- stione a ditte prestanome da lui economicamente dominate, al solo scopo di stabilire un’appartenenza economica fittizia (in questo ambito cfr. R. TSCHIGG, Die Einziehung von Vermögenswerten krimineller Organisatio- nen, Bern-Stuttgart-Wien 2003, p. 78-79). In definitiva, stabilito che gli immobili litigiosi non solo non appartengono di- rettamente o indirettamente all’indagato, ma che egli difetta anche di un po- tere di disposizione sugli stessi ai sensi dell’art. 59 n. 3 CP, se ne conclude necessariamente che il sequestro ai fini di confisca di questi averi patrimo-</w:t>
      </w:r>
    </w:p>
    <w:p>
      <w:r>
        <w:t>- 8 -</w:t>
      </w:r>
    </w:p>
    <w:p>
      <w:r>
        <w:t>niali non può avvenire sulla base di questa norma: l’applicazione dell’art. 59 n. 3 CP presuppone infatti che la persona in possesso dei valori patrimo- niali sia punibile in ragione della sua partecipazione o sostegno ad organiz- zazione criminale ai sensi dell’art. 260ter CP, ciò che non è il caso per i qui reclamanti (sentenza del Tribunale federale del 27 agosto 1996, parzial- mente pubblicata su SJ 1997 pag. 1; FAVRE/PELLET/STOUDMANN, Code pé- nal annoté, 2a ediz., Losanna 2004, note 3.1 e 3.2 ad art. 59 CP, pagg. 197-198).</w:t>
      </w:r>
    </w:p>
    <w:p>
      <w:r>
        <w:rPr>
          <w:b/>
        </w:rPr>
        <w:t>E. 4</w:t>
      </w:r>
    </w:p>
    <w:p>
      <w:r>
        <w:t>La Corte dei reclami penali fruisce di piena cognizione e esamina libera- mente l’applicazione dei diritto nelle questioni relative a misure coercitive; in tale ambito essa non è legata alle motivazioni indicate dalle parti (DTF 120 IV 342 consid. 2, relativa ad un arresto; sentenza del Tribunale federa- le 1S.13/2005 del 22 aprile 2005 consid. 4, relativa ad un sequestro; sen- tenza del Tribunale penale federale BB.2005.27 del 5 luglio 2005 consid. 2.1). Esclusa in concreto l’applicazione dell’art. 59 n. 3 CP, occorre esami- nare - come peraltro rilevato anche dai reclamanti nella loro replica - se il provvedimento di sequestro impugnato può eventualmente fondarsi sull’art. 59 n. 1 CP. In tal caso all’autorità inquirente incombe però dimostrare in maniera convincente l’esistenza di una connessione tra le attività delittuose imputate a D.______ e gli immobili appartenenti alla moglie e ai figli mag- giorenni che intende porre sotto sequestro, non valendo per questa dispo- sizione la speciale presunzione - con la conseguente inversione dell’onere probatorio – prevista all’art. 59 n. 3 CP. Nelle proprie osservazioni al gravame il MPC accenna - sulla scorta delle dichiarazioni dell’imputato e di alcune altre persone informate sui fatti (se- gnatamente il teste F.______) - ai dubbi esistenti in merito ai metodi di fi- nanziamento dell’acquisto di detti immobili (v. punti 4.1 e 4.2, pag. 5 della risposta, act. 5); da questi atti traspare in particolare come l’acquisto degli immobili da parte di B.______ e A.______ sia stato effettuato per compen- sare dei crediti non bene specificati che il padre D.______ aveva nei con- fronti di F.______ (v. convenzione dell’8 ottobre 2001 tra D.______ e F.______, “Beilage 31” in act. 5.2). In simili evenienze e stante i sospetti di reato pendenti su D.______ (recentemente confermati dalla sentenza del Tribunale federale 1S.16/2005 del 7 giugno 2005 consid. 5; v. consid. 3, supra) nonché la natura dei reati a lui contestati, l’autorità inquirente poteva legittimamente dubitare dell’origine lecita dei capitali che hanno concorso all’acquisito dei beni litigiosi e che l’intestazione degli immobili a moglie e figli sia stato un semplice espediente per eludere le eventuali conseguenze penali del suo agire. L’obiezione secondo la quale non vi sarebbe connes-</w:t>
      </w:r>
    </w:p>
    <w:p>
      <w:r>
        <w:t>- 9 -</w:t>
      </w:r>
    </w:p>
    <w:p>
      <w:r>
        <w:t>sione tra le attività delittuose imputate al padre e il sequestro degli appar- tamenti intestati a moglie e figli, e che pertanto questi andrebbero immedia- tamente dissequestrati, non regge; anzi, sarà proprio l’inchiesta in corso che dovrà stabilire l’origine lecita o meno dei fondi utilizzati per l’acquisto di detti immobili, tramite un minuzioso esame della documentazione contabile delle attività dell’indagato nel periodo considerato.</w:t>
      </w:r>
    </w:p>
    <w:p>
      <w:r>
        <w:rPr>
          <w:b/>
        </w:rPr>
        <w:t>E. 4.1</w:t>
      </w:r>
    </w:p>
    <w:p>
      <w:r>
        <w:t>I reclamanti osservano che l’imputato avrebbe solo parzialmente finanziato l’acquisto dei beni patrimoniali litigiosi e che comunque l’intervento finanzia- rio a favore delle moglie e dei figli ha avuto quale corrispettivo la consegna di cartelle ipotecarie al portatore di notevole entità, titoli che l’autorità giudi- ziaria ha già posto sotto sequestro (v. act. 5.4). Tale argomentazione non è però decisiva; se è vero che il sequestro delle cartelle ipotecarie (per un va- lore nominale di fr. 2'695'000.--; v. rapporto Fedpol, act. 5.4) riduce sostan- zialmente il potere di disposizione degli immobili da parte dei loro proprieta- ri, il valore commerciale degli immobili gravati supera verosimilmente l’importo di questi titoli. Si rileva a questo proposito che la sola transazione relativa agli immobili intestati a A.______ e B.______ valeva 4,1 milioni di franchi, e si presume che l’odierno valore commerciale di questi fondi sia anche superiore a tale cifra. Il sequestro degli immobili litigiose tende quindi a garantire alle autorità anche il valore eccedente a quello delle cartelle ipo- tecarie già sequestrate.</w:t>
      </w:r>
    </w:p>
    <w:p>
      <w:r>
        <w:rPr>
          <w:b/>
        </w:rPr>
        <w:t>E. 4.2</w:t>
      </w:r>
    </w:p>
    <w:p>
      <w:r>
        <w:t>I reclamanti sostengono infine che nella (denegata) ipotesi di applicazione dell’art. 59 n. 1 CP, essi dovrebbero essere considerati come degli acqui- renti in buona fede ai sensi del secondo capoverso di questa disposizione, dal momento che i trapassi immobiliari in oggetto sono avvenuti quando ancora non vi era nessuna inchiesta a carico dell’indagato. Ora, se è vero che al momento degli acquisti degli immobili l’inchiesta svizzera non era ancora stata avviata, quella italiana concernente D.______ era già in esse- re da tempo, per cui i reclamanti non possono ragionevolmente sostenere di essere all’oscuro delle imputazioni e dei sospetti pendenti nei confronti del loro padre, rispettivamente marito. Giova inoltre osservare che, contra- riamente a quanto previsto dall’art. 59 n. 1 cpv. 2 CP, in concreto i recla- manti non hanno fornito una controprestazione adeguata al momento dell’acquisizione dei beni patrimoniali sequestrati, dato che per ammissione stessa dell’indagato il suo intervento finanziario costituiva una donazione o un anticipo ereditario non revocabile (v. reclamo, pag. 5 in alto). Questa censura, alla pari della precedente, deve pertanto essere respinta.</w:t>
      </w:r>
    </w:p>
    <w:p>
      <w:r>
        <w:rPr>
          <w:b/>
        </w:rPr>
        <w:t>E. 5</w:t>
      </w:r>
    </w:p>
    <w:p>
      <w:r>
        <w:t>Nelle surriferite circostanze, in assenza di altra soluzione equivalente nei suoi risultati ma meno incisiva, i provvedimenti impugnati non possono es-</w:t>
      </w:r>
    </w:p>
    <w:p>
      <w:r>
        <w:t>- 10 -</w:t>
      </w:r>
    </w:p>
    <w:p>
      <w:r>
        <w:t>sere considerati lesivi del principio della proporzionalità. Non vi è quindi ra- gione di annullarli in questo momento, come chiesto dai reclamanti.</w:t>
      </w:r>
    </w:p>
    <w:p>
      <w:r>
        <w:rPr>
          <w:b/>
        </w:rPr>
        <w:t>E. 6</w:t>
      </w:r>
    </w:p>
    <w:p>
      <w:r>
        <w:t>Viste le considerazioni che precedono, il reclamo deve essere respinto. Conformemente all’art. 245 PP le spese processuali sono poste a carico della parte soccombente (art. 156 cpv. 1 OG); queste sono calcolate giusta l’art. 3 del Regolamento sulle tasse di giustizia del Tribunale penale federa- le (RS 173.711.32) e ammontano nella fattispecie a fr. 2'500.--, dedotto l’importo di fr. 1'500.-- già versato dai reclamanti sottoforma di anticipo delle spese.</w:t>
      </w:r>
    </w:p>
    <w:p>
      <w:r>
        <w:t>- 11 -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