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BB.2005.26_A vom 14. Juni 2005</w:t>
      </w:r>
    </w:p>
    <w:p>
      <w:r>
        <w:t>Bundesstrafgericht, 2005-06-14, DE</w:t>
      </w:r>
    </w:p>
    <w:p>
      <w:r>
        <w:rPr>
          <w:b/>
        </w:rPr>
        <w:t xml:space="preserve">Quelle: </w:t>
      </w:r>
      <w:r>
        <w:t>https://mcp.opencaselaw.ch/entscheid/bstger_BB.2005.26_A</w:t>
      </w:r>
    </w:p>
    <w:p>
      <w:r>
        <w:t>FR: TPF BB.2005.26_A du 14 juin 2005</w:t>
      </w:r>
    </w:p>
    <w:p>
      <w:r>
        <w:t>IT: TPF BB.2005.26_A del 14 giugno 2005</w:t>
      </w:r>
    </w:p>
    <w:p>
      <w:pPr>
        <w:pStyle w:val="Heading2"/>
      </w:pPr>
      <w:r>
        <w:t>Regeste</w:t>
      </w:r>
    </w:p>
    <w:p>
      <w:r>
        <w:t>Ausstandsbegehren (Art. 30 SGG i.V.m. Art. 99 Abs. 1 BStP i.V.m. Art. 22 ff. OG) Gesuch um unentgeltliche Rechtspflege (Art. 30 SGG i.V.m. Art. 245 BStP i.V.m. Art. 152 OG)</w:t>
      </w:r>
    </w:p>
    <w:p>
      <w:pPr>
        <w:pStyle w:val="Heading2"/>
      </w:pPr>
      <w:r>
        <w:t>Erwägungen</w:t>
      </w:r>
    </w:p>
    <w:p>
      <w:r>
        <w:rPr>
          <w:b/>
        </w:rPr>
        <w:t>E. 1</w:t>
      </w:r>
    </w:p>
    <w:p>
      <w:r>
        <w:t>Vorweg ist festzuhalten, dass der Gesuchsteller sein Ausstandsbegehren mit Eingabe vom 30. Mai 2005 zurückgezogen hat (BK act. 7, S. 1 f.); die- ses ist mithin als erledigt abzuschreiben. Damit kann die Beschwerdekam- mer über das – vor dem eigentlichen Entscheid in der Sache zu beurteilen- den Gesuch – um unentgeltliche Rechtspflege (vgl. nachfolgend E. 2) in der eingangs erwähnten Besetzung befinden.</w:t>
      </w:r>
    </w:p>
    <w:p>
      <w:r>
        <w:rPr>
          <w:b/>
        </w:rPr>
        <w:t>E. 2.1</w:t>
      </w:r>
    </w:p>
    <w:p>
      <w:r>
        <w:t>Für Kosten und Entschädigung im Verfahren vor Bundesstrafgericht gelten die Art. 146-161 OG, soweit das Bundesstrafrechtspflegegesetz keine ab- weichenden Bestimmungen enthält (Art. 30 SGG i.V.m. Art. 245 BStP; vgl. auch Art. 149 OG). Gemäss Art. 150 Abs. 1 OG hat, wer das Bundesstraf- gericht anruft, nach Anordnung des Präsidenten die mutmasslichen Ge- richtskosten (Art. 153 und Art. 153a OG) sicherzustellen. Das Bundesstraf- gericht gewährt einer bedürftigen Partei, deren Rechtsbegehren nicht aus- sichtslos erscheint, hingegen auf Antrag Befreiung von der Bezahlung der Gerichtskosten (Art. 152 Abs. 1 OG) und kann ihr nötigenfalls einen Rechtsanwalt beigeben (Art. 152 Abs. 2 OG). Bedürftig ist eine Partei, wel-</w:t>
      </w:r>
    </w:p>
    <w:p>
      <w:r>
        <w:t>- 4 -</w:t>
      </w:r>
    </w:p>
    <w:p>
      <w:r>
        <w:t>che die Leistung der erforderlichen Prozess- und Parteikosten nur erbrin- gen kann, wenn sie die Mittel angreift, die sie zur Deckung des Grundbe- darfs für sich und ihre Familie benötigt (BGE 125 IV 161, 164 E. 4a; 124 I 1, 2 f. E. 2a; vgl. auch BGE 128 I 225, 232 E. 2.5.1; 127 I 202, 205 E. 3b). Die prozessuale Bedürftigkeit beurteilt sich nach der gesamten wirtschaftli- chen Situation des Rechtsuchenden im Zeitpunkt der Einreichung des Ge- suchs. Dazu gehören einerseits sämtliche finanziellen Verpflichtungen, an- dererseits die Einkommens- und Vermögensverhältnisse (BGE 124 I 1, 2 E. 2a; 120 Ia 179, 181 E. 3a, je mit Hinweisen). Bei der Ermittlung des not- wendigen Lebensunterhaltes soll nicht schematisch auf das betreibungs- rechtliche Existenzminimum abgestellt, sondern den individuellen Umstän- den Rechnung getragen werden. Ein allfälliger Überschuss zwischen dem zur Verfügung stehenden Einkommen und dem Zwangsbedarf der Gesuch stellenden Partei ist mit den für den konkreten Fall zu erwartenden Ge- richts- und Anwaltskosten in Beziehung zu setzen (BGE 118 Ia 369, 370 f. E. 4a); dabei sollte es ihr der monatliche Überschuss ermöglichen, die Pro- zesskosten bei weniger aufwändigen Prozessen innert eines Jahres, bei anderen innert zweier Jahre zu tilgen (vgl. zum Ganzen Urteil des Bundes- gerichts 5P.457/2003 vom 19. Januar 2004 E. 1.2).</w:t>
      </w:r>
    </w:p>
    <w:p>
      <w:r>
        <w:t>Grundsätzlich obliegt es dem Gesuchsteller, seine Einkommens- und Ver- mögensverhältnisse umfassend darzulegen und soweit wie möglich zu be- 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 suchstellers sowie über seine Einkommens- und Vermögensverhältnisse Aufschluss zu geben (BGE 125 IV 161, 164 f. E. 4a). Kommt der Ge- suchsteller dieser umfassenden Pflicht zur Offenlegung seiner finanziellen Situation nicht nach bzw. ergeben die vorgelegten Urkunden und die ge- machten Angaben kein kohärentes und widerspruchsfreies Bild seiner fi- nanziellen Verhältnisse, so kann sein Gesuch mangels ausreichender Sub- stanziierung oder mangels Bedürftigkeitsnachweis abgewiesen werden (vgl. BÜHLER, Die Prozessarmut, in: Schöbi [Hrsg.], Gerichtskosten, Partei- kosten, Prozesskaution, unentgeltliche Prozessführung, Bern 2001, S. 189 f.; BGE 125 IV 161, 165 E. 4a).</w:t>
      </w:r>
    </w:p>
    <w:p>
      <w:r>
        <w:rPr>
          <w:b/>
        </w:rPr>
        <w:t>E. 2.2</w:t>
      </w:r>
    </w:p>
    <w:p>
      <w:r>
        <w:t>Im vorliegenden Fall ergibt sich, dass der Gesuchsteller der ihm obliegen- den Pflicht zur Offenlegung seiner finanziellen Verhältnisse nicht vollum- fänglich nachgekommen ist. Zwar hat er seinem Gesuch um unentgeltliche Prozessführung vom 22. April 2005 (BK act. 3) zur Belegung seiner Bedürf-</w:t>
      </w:r>
    </w:p>
    <w:p>
      <w:r>
        <w:t>- 5 -</w:t>
      </w:r>
    </w:p>
    <w:p>
      <w:r>
        <w:t>tigkeit eine „taxation définitive“ vom 24. August 2004 der Steuerbehörden des Kantons Waadt (BK act. 3.1) beigelegt und erklärt, weitere Belege im gewünschten Umfang „auf erstes Verlangen umgehend“ nachzureichen (BK act. 3, S. 2); entsprechend hat ihm die Beschwerdekammer das For- mular betreffend unentgeltliche Rechtspflege übermittelt und ihn aufgefor- dert, „dieses vollständig und wahrheitsgetreu auszufüllen und samt den im Formular genannten Unterlagen“ (BK act. 4) zu retournieren. Dieser Auffor- derung ist der Gesuchsteller jedoch nicht im geforderten Masse nachge- kommen.</w:t>
      </w:r>
    </w:p>
    <w:p>
      <w:r>
        <w:t>Zunächst hat der Gesuchsteller bei der Position „Vermögen“ einzig den Vermerk angebracht „Vom Waadtländer Justizapparat ‚abgenommen’“ und als Total der Vermögenswerte den Betrag Fr. 0.-- eingesetzt (BK act. 5, S. 3). Weder wurden die einzelnen Positionen, wie im Formular ausdrück- lich verlangt (vgl. BK act. 5, S. 2), gestrichen, noch wurden irgendwelche Belege eingereicht, welche die Darstellung des Gesuchstellers untermau- ern würden. Erhebliche Zweifel an der Wahrheit bzw. Vollständigkeit seiner Angaben ergeben sich dabei insbesondere aufgrund der Tatsache, dass das bei der D. SA erzielte Einkommen offensichtlich nicht bar, sondern auf ein Konto des Gesuchstellers ausbezahlt worden ist. Im Formular betref- fend unentgeltliche Rechtspflege wäre nicht nur der Bestand, sondern ins- besondere auch der Saldo dieses Kontos anzugeben und zu belegen ge- wesen (vgl. den entsprechenden Hinweis im Formular; BK act. 5, S. 2).</w:t>
      </w:r>
    </w:p>
    <w:p>
      <w:r>
        <w:t>Sodann hat der Gesuchsteller nicht alle der von ihm geltend gemachten Auslagenposten belegt. Wie im Formular explizit vermerkt wird, wäre bei sämtlichen Auslagen sowohl deren Bestand (z.B. mit Verträgen, Bestäti- gungen, Rechnungen) als auch deren regelmässige Bezahlung (Quittun- gen) nachzuweisen gewesen (BK act. 5, S. 2). In Bezug auf die behaupte- ten Mietauslagen fehlen Belege für beides.</w:t>
      </w:r>
    </w:p>
    <w:p>
      <w:r>
        <w:rPr>
          <w:b/>
        </w:rPr>
        <w:t>E. 2.3</w:t>
      </w:r>
    </w:p>
    <w:p>
      <w:r>
        <w:t>Zusammenfassend kann festgehalten werden, dass der Gesuchsteller sei- nen Mitwirkungspflichten nicht vollumfänglich nachgekommen ist. Entspre- chend ist das Gesuch um Gewährung der unentgeltlichen Rechtspflege in Bezug auf die Gerichtskosten und die Bestellung eines Vertreters in der Person von Rechtsanwalt Urs Saal für das Verfahren BB.2005.26 abzuwei- sen. Dem Gesuchsteller wird mit vorliegenden Entscheid Frist bis 27. Juni 2005 zur Leistung des Kostenvorschusses von Fr. 500.-- angesetzt.</w:t>
      </w:r>
    </w:p>
    <w:p>
      <w:r>
        <w:rPr>
          <w:b/>
        </w:rPr>
        <w:t>E. 3</w:t>
      </w:r>
    </w:p>
    <w:p>
      <w:r>
        <w:t>Die Kosten des vorliegenden Entscheids bleiben bei der Hauptsache.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