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BB.2005.119 vom 7. Dezember 2005</w:t>
      </w:r>
    </w:p>
    <w:p>
      <w:r>
        <w:t>Bundesstrafgericht, 2005-12-07, DE</w:t>
      </w:r>
    </w:p>
    <w:p>
      <w:r>
        <w:rPr>
          <w:b/>
        </w:rPr>
        <w:t xml:space="preserve">Quelle: </w:t>
      </w:r>
      <w:r>
        <w:t>https://mcp.opencaselaw.ch/entscheid/bstger_BB.2005.119</w:t>
      </w:r>
    </w:p>
    <w:p>
      <w:r>
        <w:t>FR: TPF BB.2005.119 du 7 décembre 2005</w:t>
      </w:r>
    </w:p>
    <w:p>
      <w:r>
        <w:t>IT: TPF BB.2005.119 del 7 dicembre 2005</w:t>
      </w:r>
    </w:p>
    <w:p>
      <w:pPr>
        <w:pStyle w:val="Heading2"/>
      </w:pPr>
      <w:r>
        <w:t>Regeste</w:t>
      </w:r>
    </w:p>
    <w:p>
      <w:r>
        <w:t>Gesuch umWiederherstellung einer Frist (Art. 99 Abs. 1 BStP i.V.m. Art. 35 Abs. 1 OG)</w:t>
      </w:r>
    </w:p>
    <w:p>
      <w:pPr>
        <w:pStyle w:val="Heading2"/>
      </w:pPr>
      <w:r>
        <w:t>Erwägungen</w:t>
      </w:r>
    </w:p>
    <w:p>
      <w:r>
        <w:rPr>
          <w:b/>
        </w:rPr>
        <w:t>E. 1</w:t>
      </w:r>
    </w:p>
    <w:p>
      <w:r>
        <w:t>Gemäss Art. 35 Abs. 1 OG, auf welche Bestimmung Art. 99 Abs. 1 BStP für die Wiedereinsetzung gegen die Folgen einer Fristversäumnis verweist, kann eine Wiederherstellung bei Versäumung einer Frist nur dann erteilt werden, wenn der Gesuchsteller oder sein Vertreter durch ein unverschul- detes Hindernis abgehalten worden ist, innert der Frist zu handeln, und binnen zehn Tagen nach Wegfall des Hindernisses unter Angabe dessel- ben die Wiederherstellung verlangt und die versäumte Rechtshandlung nachholt. Für die Frage des unverschuldeten Hindernisses macht es grundsätzlich keinen Unterschied, ob die Verhinderung den Anwalt oder seinen Klienten trifft, hat sich doch der Anwalt so zu organisieren, dass die Fristen im Falle seiner Verhinderung trotzdem gewahrt bleiben. Das ge- schieht durch umgehende Bestellung eines Substituten oder bei fehlender Substitutionsvollmacht dadurch, dass der Klient sogleich veranlasst wird, selbst zu handeln oder einen anderen Anwalt aufzusuchen (BGE 119 II 86 f. E. 2a). Ein Anwalt, der eine Verfügung zur Leistung eines Kostenvor- schusses erhält, hat sich zu vergewissern, dass diese Aufforderung seinem</w:t>
      </w:r>
    </w:p>
    <w:p>
      <w:r>
        <w:t>- 4 -</w:t>
      </w:r>
    </w:p>
    <w:p>
      <w:r>
        <w:t>Klienten tatsächlich zugekommen ist und dieser die Zahlung innert nützli- cher Frist vorgenommen hat (BGE 110 Ib 94 f. E. 2). Die Wiederherstellung beurteilt sich nach Massgabe der Gesuchsbegründung (BGE 119 II 86, 88).</w:t>
      </w:r>
    </w:p>
    <w:p>
      <w:r>
        <w:rPr>
          <w:b/>
        </w:rPr>
        <w:t>E. 2</w:t>
      </w:r>
    </w:p>
    <w:p>
      <w:r>
        <w:t>Die Gesuchstellerin macht geltend, sie und die C. AG hätten ihre Be- schwerde in einer Rechtsschrift beim Bundesstrafgericht anhängig ge- macht, weshalb sie beide – da es sich um den identischen Sachverhalt handle – davon ausgegangen seien, dass diese beiden Beschwerden in ein und demselben Verfahren behandelt würden. In diesem Glauben seien sie dadurch bestärkt worden, dass der zweifache Schriftenwechsel in Bezug auf die Frage der aufschiebenden Wirkung in ein und demselben Verfahren durchgeführt worden sei. Das Verfahren sei nicht zweigeteilt worden. Es sei zutreffend, dass der Vertreter ein Schreiben des Bundesstrafgerichts erhal- ten habe, wonach ein Kostenvorschuss von Fr. 1'000.-- zu überweisen sei. Dieser Aufforderung seien die Gesuchstellerin und die C. AG nachgekom- men. Sie beide und der Vertreter seien davon ausgegangen, dass „damit der Kostenvorschuss für das eine Verfahren bezahlt“ sei. Würden zwei ge- trennte Verfahren geführt, dann seien auch zwei getrennte Kuverts zu ver- wenden, um zwei separate Verfügungen in den beiden Verfahren zuzustel- len. Die Gesuchstellerin und ihr Vertreter hätten bei Eingang des Nichtein- tretensentscheids mit Erstaunen davon Kenntnis genommen, dass das Bundesstrafgericht das Verfahren nun getrennt habe und offenbar einen Kostenvorschuss von zwei Mal Fr. 1'000.-- haben wollte.</w:t>
      </w:r>
    </w:p>
    <w:p>
      <w:r>
        <w:t>Die Gesuchstellerin macht nicht geltend, sie oder ihr Vertreter hätten we- gen eines eigentlichen Hindernisses – wie Handlungsunfähigkeit infolge Krankheit oder Unfall, Abwesenheit etc. – den verlangten Kostenvorschuss nicht innert Frist leisten können, sondern sie bringt im wesentlichen vor, es sei in den gerichtlichen Anordnungen nicht erkennbar gewesen, dass trotz mit der C. AG gemeinsam eingereichter Beschwerdeschrift zwei getrennte Verfahren geführt würden und aus diesem Grund von jeder Beschwerde- führerin ein Kostenvorschuss von Fr. 1'000.-- verlangt werde. Diese Vor- bringen begründen kein unverschuldetes Hindernis im Sinne von Art. 35 Abs. 1 OG. Von einem solchen könnte nur gesprochen werden, wenn dem Vertreter die gerichtliche Aufforderung zur Leistung des Kostenvorschusses gar nicht zugegangen wäre. Solches macht die Gesuchstellerin indes nicht ausdrücklich geltend. Aus dem Umstand, dass die separaten Aufforderun- gen an die Gesuchstellerin und die C. AG im selben Kuvert dem Vertreter zugestellt wurden, kann die Gesuchstellerin nichts zu ihren Gunsten ablei- ten, zumal diese je eine eigene Verfahrensnummer mit fett gedrucktem Betreffnis (je auf die Gesuchstellerin und die C. AG lautend) enthielten und</w:t>
      </w:r>
    </w:p>
    <w:p>
      <w:r>
        <w:t>- 5 -</w:t>
      </w:r>
    </w:p>
    <w:p>
      <w:r>
        <w:t>auch auf den beigelegten Einzahlungsscheinen die betreffende Verfah- rensnummer fett vermerkt war. Es stellt eine Selbstverständlichkeit dar und gehört zur elementaren Sorgfaltspflicht des Rechtsanwalts, gerichtliche Sendungen aufmerksam durchzusehen. Nachdem für die nachträgliche Leistung des Kostenvorschusses der der Aufforderung vom 26. August 2005 beigelegte vorgedruckte Einzahlungsschein des Bundesstrafgerichts verwendet wurde (act. 1.1), steht zudem fest, dass der Vertreter (auch) diesen tatsächlich erhalten hatte. Sollten trotz Vorliegens zweier separater Aufforderungen mit je einem Einzahlungsschein noch Unklarheiten über den Inhalt der Verfügungen bestanden haben, so gehört es auch diesbe- züglich zur Sorgfaltspflicht des Anwalts, beim Gericht nachzufragen und sich zu vergewissern, ob einer oder zwei Kostenvorschüsse zu leisten sind. Schliesslich ergibt sich auch aus den im Rahmen des Schriftenwechsels zur Frage der aufschiebenden Wirkung jeweils im selben Schreiben ergan- genen gerichtlichen Anordnungen an den Vertreter auf Grund der Angabe zweier verschiedener Verfahrensnummern, dass für beide Beschwerdefüh- rerinnen je ein eigenes Verfahren geführt wurde. Die Nichtleistung des Kos- tenvorschusses durch die Gesuchstellerin ist demzufolge einem Versehen ihres Vertreters und nicht einem unverschuldeten Hindernis zuzuschreiben.</w:t>
      </w:r>
    </w:p>
    <w:p>
      <w:r>
        <w:t>Bei dieser Sachlage kann auf die Einholung einer Vernehmlassung der Ge- suchsgegnerin (vgl. Art. 35 Abs. 2 OG) in sinngemässer Anwendung von Art. 219 Abs. 1 BStP verzichtet werden.</w:t>
      </w:r>
    </w:p>
    <w:p>
      <w:r>
        <w:rPr>
          <w:b/>
        </w:rPr>
        <w:t>E. 3</w:t>
      </w:r>
    </w:p>
    <w:p>
      <w:r>
        <w:t>Nach dem Gesagten ist das Gesuch um Wiederherstellung gegen die Fol- gen der versäumten Frist abzuweisen.</w:t>
      </w:r>
    </w:p>
    <w:p>
      <w:r>
        <w:rPr>
          <w:b/>
        </w:rPr>
        <w:t>E. 4</w:t>
      </w:r>
    </w:p>
    <w:p>
      <w:r>
        <w:t>Bei diesem Ausgang des Verfahrens sind die Kosten der Gesuchstellerin aufzuerlegen (Art. 245 BStP i.V.m. Art. 156 Abs. 1 OG). Die Gerichtsge- bühr ist auf Fr. 200.-- festzusetzen (Art. 3 des Reglements vom 11. Februar 2004 über die Gerichtsgebühren vor dem Bundesstrafgericht, SR 173.711.32).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