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BB.2005.103 vom 9. Februar 2006</w:t>
      </w:r>
    </w:p>
    <w:p>
      <w:r>
        <w:t>Bundesstrafgericht, 2006-02-09, DE</w:t>
      </w:r>
    </w:p>
    <w:p>
      <w:r>
        <w:rPr>
          <w:b/>
        </w:rPr>
        <w:t xml:space="preserve">Quelle: </w:t>
      </w:r>
      <w:r>
        <w:t>https://mcp.opencaselaw.ch/entscheid/bstger_BB.2005.103</w:t>
      </w:r>
    </w:p>
    <w:p>
      <w:r>
        <w:t>FR: TPF BB.2005.103 du 9 février 2006</w:t>
      </w:r>
    </w:p>
    <w:p>
      <w:r>
        <w:t>IT: TPF BB.2005.103 del 9 febbraio 2006</w:t>
      </w:r>
    </w:p>
    <w:p>
      <w:pPr>
        <w:pStyle w:val="Heading2"/>
      </w:pPr>
      <w:r>
        <w:t>Regeste</w:t>
      </w:r>
    </w:p>
    <w:p>
      <w:r>
        <w:t>Beschwerde gegen Verweigerung der teilweisen Freigabe beschlagnahmter Vermögenswerte (Art. 105bis Abs. 2 BStP)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November 2005 nicht in Rechtskraft erwachsen sein sollte - sei sie un- ter Kosten- und Entschädigungsfolgen gutzuheissen (act. 11);</w:t>
      </w:r>
    </w:p>
    <w:p>
      <w:r>
        <w:t>- eine teilweise Freigabe von voraussichtlich der Einziehung unterliegenden beschlagnahmten Vermögenswerten weder für den Lebensunterhalt noch für Verteidigerkosten in Frage gekommen wäre, da bei einer allfälligen Not- lage sowohl der Lebensunterhalt als auch die erforderliche Verteidigung durch verfassungs- bzw. konventionsmässige Garantien gewährleistet ge- wesen wären (vgl. Urteil des Bundesgerichts 1S.16/2005 vom 7. Juni 2005 E. 7 und 9);</w:t>
      </w:r>
    </w:p>
    <w:p>
      <w:r>
        <w:t>- das Argument, bei einer Ersatzforderung der Eidgenossenschaft in der Hö- he von Fr. 50'000.-- sei die Beschlagnahme eines Depots mit einem Konto- stand von rund Fr. 238'000.-- unverhältnismässig, nicht stichhaltig ist, da ihm eine retrospektive Betrachtungsweise zu Grunde liegt, während für die vorliegend zu beurteilende Frage die Sachlage vor Eintritt des Erledigungs- grundes – also vor Erlass des Entscheids der Strafkammer – massgeblich ist und die Höhe einer (allfälligen) späteren Ersatzforderung in jenem Zeit- punkt betragsmässig noch nicht bzw. bloss ungefähr feststehen konnte;</w:t>
      </w:r>
    </w:p>
    <w:p>
      <w:r>
        <w:t>- die Bundesanwaltschaft in ihrer abweisenden Verfügung von einem mut- masslichen Deliktsbetrag von Fr. 230'000.-- ausging, welcher Grundlage für eine Ersatzforderung gemäss Art. 59 Ziff. 2 StGB bilde (act. 1.3), während A. immerhin eine Deliktssumme von Fr. 149'000.-- einräumt (act. 1 S. 4),</w:t>
      </w:r>
    </w:p>
    <w:p>
      <w:r>
        <w:t>- 4 -</w:t>
      </w:r>
    </w:p>
    <w:p>
      <w:r>
        <w:t>weshalb die Beschlagnahme auch unter diesem Gesichtspunkt nicht als unverhältnismässig bezeichnet werden kann;</w:t>
      </w:r>
    </w:p>
    <w:p>
      <w:r>
        <w:t>- die Beschwerde demnach mutmasslich abzuweisen gewesen wäre;</w:t>
      </w:r>
    </w:p>
    <w:p>
      <w:r>
        <w:t>- die Kosten des Beschwerdeverfahrens demzufolge A. aufzuerlegen sind (Art. 245 BStP i.V.m. Art. 156 Abs. 1 OG), unter Ansetzung einer mit dem Kostenvorschuss zu verrechnenden Gerichtsgebühr von Fr. 1'000.-- (Art. 3 des Reglements vom 11. Februar 2004 über die Gerichtsgebühren vor dem Bundesstrafgericht, SR 173.711.32).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