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BB.2004.73 vom 10. März 2005</w:t>
      </w:r>
    </w:p>
    <w:p>
      <w:r>
        <w:t>Bundesstrafgericht, 2005-03-10, DE</w:t>
      </w:r>
    </w:p>
    <w:p>
      <w:r>
        <w:rPr>
          <w:b/>
        </w:rPr>
        <w:t xml:space="preserve">Quelle: </w:t>
      </w:r>
      <w:r>
        <w:t>https://mcp.opencaselaw.ch/entscheid/bstger_BB.2004.73</w:t>
      </w:r>
    </w:p>
    <w:p>
      <w:r>
        <w:t>FR: TPF BB.2004.73 du 10 mars 2005</w:t>
      </w:r>
    </w:p>
    <w:p>
      <w:r>
        <w:t>IT: TPF BB.2004.73 del 10 marzo 2005</w:t>
      </w:r>
    </w:p>
    <w:p>
      <w:pPr>
        <w:pStyle w:val="Heading2"/>
      </w:pPr>
      <w:r>
        <w:t>Regeste</w:t>
      </w:r>
    </w:p>
    <w:p>
      <w:r>
        <w:t>Beschwerde gegen Verweigerung der Zulassung als privater Verteidiger und Verweigerung des Besuchsrechts (Art. 105bis BStP)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November 2004 nicht eintrat (BK act. 1.1);</w:t>
      </w:r>
    </w:p>
    <w:p>
      <w:r>
        <w:t>dass A.______ dagegen mit Eingabe vom 25. November 2004 Beschwerde erhob und darin erneut beantragt, er sei als privater Verteidiger von B.______ und C.______ mit allen daraus ergehenden Rechten, insbeson- dere dem Besuchsrecht, anzuerkennen (BK act. 1);</w:t>
      </w:r>
    </w:p>
    <w:p>
      <w:r>
        <w:t>dass er die Beschwerde damit begründet, die Akten seien mit Entscheid der Bundesanwaltschaft vom 22. Oktober 2004 parteiöffentlich gemacht worden, weshalb keine Interessenkollision mehr bestehe, und er von B.______ und C.______ aufgrund von ihnen unterzeichneter, aktueller An- waltsvollmachten als deren Vertreter gewünscht werde;</w:t>
      </w:r>
    </w:p>
    <w:p>
      <w:r>
        <w:t>dass A.______ in der gleichen Eingabe vom 25. November 2004 auch ein Gesuch um Revision des Entscheids der Beschwerdekammer vom 10. No-</w:t>
      </w:r>
    </w:p>
    <w:p>
      <w:r>
        <w:t>- 3 -</w:t>
      </w:r>
    </w:p>
    <w:p>
      <w:r>
        <w:t>vember 2004 stellte und dieses mit denselben Vorbringen wie die Be- schwerde begründete;</w:t>
      </w:r>
    </w:p>
    <w:p>
      <w:r>
        <w:t>dass das Revisionsgesuch mit Entscheid vom 6. Dezember 2004 abgewie- sen (BK_B 209/04) und darin u.a. erwogen wurde, die Akten seien entge- gen den Ausführungen des damaligen Gesuchstellers und jetzigen Be- schwerdeführers nur teilweise parteiöffentlich gemacht worden und die Ge- fahr einer latenten Interessenkollision sei nicht gebannt (vgl. E. 2.1 des Ent- scheids), woran auch die eingereichten aktuellen Anwaltsvollmachten nichts ändern könnten (E. 2.2 des Entscheids);</w:t>
      </w:r>
    </w:p>
    <w:p>
      <w:r>
        <w:t>dass die vorgenannten Erwägungen, welche zur Abweisung des Revisi- onsgesuchs führten, auch für die identischen, zur Begründung der Be- schwerde vorgebrachten Rügen gelten, weshalb auch diese Beschwerde abzuweisen ist;</w:t>
      </w:r>
    </w:p>
    <w:p>
      <w:r>
        <w:t>dass im genannten Entscheid vom 6. Dezember 2004 in Bezug auf A.______s Ersuchen, der Entscheid habe auf Italienisch zu erfolgen, erwo- gen wurde, gestützt auf Art. 30 SGG i.V.m. Art. 37 Abs. 3 OG rechtfertige sich die deutsche Sprache (vgl. E. 1. des Entscheids), was auch für den vorliegenden Entscheid gilt;</w:t>
      </w:r>
    </w:p>
    <w:p>
      <w:r>
        <w:t>dass vorliegend die Gerichtsgebühr auf Fr. 500.-- festzusetzen (Art. 3 des Reglements über die Gerichtsgebühren vor dem Bundesstrafgericht) und dem Gesuchsteller aufzuerlegen ist (Art. 245 BStP i.V.m. Art. 156 Abs. 1 OG),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