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BB.2004.66 vom 11. März 2005</w:t>
      </w:r>
    </w:p>
    <w:p>
      <w:r>
        <w:t>Bundesstrafgericht, 2005-03-11, DE</w:t>
      </w:r>
    </w:p>
    <w:p>
      <w:r>
        <w:rPr>
          <w:b/>
        </w:rPr>
        <w:t xml:space="preserve">Quelle: </w:t>
      </w:r>
      <w:r>
        <w:t>https://mcp.opencaselaw.ch/entscheid/bstger_BB.2004.66</w:t>
      </w:r>
    </w:p>
    <w:p>
      <w:r>
        <w:t>FR: TPF BB.2004.66 du 11 mars 2005</w:t>
      </w:r>
    </w:p>
    <w:p>
      <w:r>
        <w:t>IT: TPF BB.2004.66 del 11 marzo 2005</w:t>
      </w:r>
    </w:p>
    <w:p>
      <w:pPr>
        <w:pStyle w:val="Heading2"/>
      </w:pPr>
      <w:r>
        <w:t>Regeste</w:t>
      </w:r>
    </w:p>
    <w:p>
      <w:r>
        <w:t>Beschwerde gegen Amtshandlungen des Bundesanwalts (Art. 105bis Abs. 2 BStP)</w:t>
      </w:r>
    </w:p>
    <w:p>
      <w:pPr>
        <w:pStyle w:val="Heading2"/>
      </w:pPr>
      <w:r>
        <w:t>Erwägungen</w:t>
      </w:r>
    </w:p>
    <w:p>
      <w:r>
        <w:rPr>
          <w:b/>
        </w:rPr>
        <w:t>E. 1</w:t>
      </w:r>
    </w:p>
    <w:p>
      <w:r>
        <w:t>Wie zuvor die Anklagekammer des Bundesgerichts prüft die Beschwerde- kammer des Bundesstrafgerichts die Zulässigkeit der bei ihr eingereichten Rechtsmittel von Amtes wegen und mit freier Kognition (BGE 122 IV 188, 190 E. 1; 121 II 72, 74 E. 1a).</w:t>
      </w:r>
    </w:p>
    <w:p>
      <w:r>
        <w:t>- 3 -</w:t>
      </w:r>
    </w:p>
    <w:p>
      <w:r>
        <w:rPr>
          <w:b/>
        </w:rPr>
        <w:t>E. 2</w:t>
      </w:r>
    </w:p>
    <w:p>
      <w:r>
        <w:t>Gegen Amtshandlungen und wegen Säumnis des Bundesanwalts kann bei der Beschwerdekammer des Bundesstrafgerichts Beschwerde geführt wer- den (Art. 105bis BStP). Diese richtet sich nach den Artt. 214 – 219 BStP. Letzterer sieht e contrario vor, dass auf den weiteren Schriftenwechsel ver- zichtet werden kann, sofern sich die Beschwerde sofort als unzulässig oder unbegründet erweist.</w:t>
      </w:r>
    </w:p>
    <w:p>
      <w:r>
        <w:rPr>
          <w:b/>
        </w:rPr>
        <w:t>E. 2.1</w:t>
      </w:r>
    </w:p>
    <w:p>
      <w:r>
        <w:t>Gemäss Art. 36 Abs. 1 BStP bestellt der Richter dem Beschuldigten, der infolge Inhaftierung, jugendlichen Alters, Unerfahrenheit oder anderer Gründe nicht imstande ist, sich selber zu verteidigen, einen amtlichen Ver- teidiger (sog. Pflichtverteidiger oder notwendiger Verteidiger). Dies aber nach dem Gesetzeswortlaut nur dann, wenn der Beschuldigte in diesen Fällen von notwendiger Verteidigung nicht bereits einen frei gewählten Ver- teidiger beigezogen hat oder beizieht. Diesfalls besteht kein Bedarf, zusätz- lich einen amtlichen Verteidiger zu bestellen. Die Bestellung eines amtli- chen Verteidigers trotz bereits bestehender Verteidigung käme allenfalls dann in Betracht, wenn der gewillkürte Vertreter die Interessen des Ange- schuldigten nicht in ausreichender und wirksamer Weise wahrnimmt (HAU- SER/SCHWERI, Schweizerisches Strafprozessrecht,</w:t>
      </w:r>
    </w:p>
    <w:p>
      <w:r>
        <w:rPr>
          <w:b/>
        </w:rPr>
        <w:t>E. 2.2</w:t>
      </w:r>
    </w:p>
    <w:p>
      <w:r>
        <w:t>Der Beschwerdeführer bringt sodann vor, die Beschwerdegegnerin habe bei der Behandlung seines Gesuchs um unentgeltliche Rechtspflege nicht berücksichtigt, dass er per Mitte Oktober 2004 ausgesteuert worden sei. Zu den Einnahmen von monatlich rund Fr. 3'500.-- kommt sein hälftiger Anteil</w:t>
      </w:r>
    </w:p>
    <w:p>
      <w:r>
        <w:t>- 4 -</w:t>
      </w:r>
    </w:p>
    <w:p>
      <w:r>
        <w:t>an den ehelichen Ersparnissen von Fr. 62'500.--, somit ein monatlich ver- wendbarer Betrag von rund Fr. 5'200.-- (nicht bloss von Fr. 5'000.--, wie der Beschwerdeführer zu seinen Gunsten angibt) hinzu, gesamthaft also Fr. 8'700.-- monatlich. Dem stehen gemäss Angaben des Beschwerdefüh- rers monatliche Auslagen in der Höhe von rund Fr. 6'300.-- gegenüber (ef- fektiv: Fr. 6'221.--, weshalb ein Aufrunden auf Fr. 6'500.--, wie es der Be- schwerdeführer getan hat, unangemessen ist). Damit ergibt sich ein monat- licher Überschuss von rund Fr. 2'400.--, womit – wie die Beschwerdegeg- nerin in ihrer Verfügung im Ergebnis zu Recht feststellte – die Vorausset- zungen zur Gewährung der unentgeltlichen Rechtspflege nicht erfüllt sind.</w:t>
      </w:r>
    </w:p>
    <w:p>
      <w:r>
        <w:rPr>
          <w:b/>
        </w:rPr>
        <w:t>E. 2.3</w:t>
      </w:r>
    </w:p>
    <w:p>
      <w:r>
        <w:t>Die Beschwerde erweist sich gestützt auf obige Erwägungen als unbegrün- det und ist daher abzuweisen.</w:t>
      </w:r>
    </w:p>
    <w:p>
      <w:r>
        <w:t>3. Schliesslich stellt der Beschwerdeführer für das vorliegende Beschwerde- verfahren das Gesuch um unentgeltliche Rechtspflege, bringt jedoch ge- genüber seinen Vorbringen vor der Bundesanwaltschaft keine neuen Tat- sachen vor, weshalb die Erwägungen unter 2.2 auch für den diesbezügli- chen Entscheid massgebend bleiben. Gestützt auf dieselben ist festzustel- len, dass der Beschwerdeführer in der Lage ist, die Kosten des Beschwer- deverfahrens selbst zu bezahlen, weshalb das Gesuch um unentgeltliche Rechtspflege abzuweisen ist.</w:t>
      </w:r>
    </w:p>
    <w:p>
      <w:r>
        <w:t>Bei diesem Ausgang des Verfahrens hat der Beschwerdeführer die Kosten desselben zu tragen (Art. 245 BStP i.V.m. Art. 156 Abs. 1 OG). Die Ge- richtsgebühr wird auf Fr. 800.-- festgesetzt (Art. 3 des Reglements über die Gerichtsgebühren vor dem Bundesstrafgericht, SR 173.711.32).</w:t>
      </w:r>
    </w:p>
    <w:p>
      <w:r>
        <w:t>- 5 -</w:t>
      </w:r>
    </w:p>
    <w:p>
      <w:r>
        <w:rPr>
          <w:b/>
        </w:rPr>
        <w:t>E. 5</w:t>
      </w:r>
    </w:p>
    <w:p>
      <w:r>
        <w:t>Auflage, Ba- sel/Genf/München 2002, § 40 N 17).</w:t>
      </w:r>
    </w:p>
    <w:p>
      <w:r>
        <w:t>Der Beschwerdeführer hat mit Vollmachtsurkunde vom 20. Juli 2004 einen Privatverteidiger, Trottmann, mit der Wahrung seiner Interessen beauftragt (vgl. BK act. 1.2). Es bestehen keine Anhaltspunkte dafür, dass er seither von diesem nicht wirksam vertreten worden wäre, weshalb sich die Frage der Bestellung eines amtlichen Anwalts grundsätzlich nicht stellt. Der Be- schwerdeführer ersucht denn auch gar nicht darum, sondern fordert sozu- sagen einen „Etikettenwechsel“, indem sein Privatverteidiger neu als not- wendiger Verteidiger i.S.v. Art. 36 Abs. 1 BStP fungieren solle. Eine derar- tige Möglichkeit lässt sich aus dem Wortlaut von Art. 36 Abs. 1 BStP nicht ableiten. Sollte es dem Privatverteidiger darum gehen, auf dem Weg der Einsetzung als Pflichtverteidiger seine Entschädigung aus der Bundeskas- se zu sichern, sei lediglich bemerkt, dass die Bundeskasse die Entschädi- gung des amtlichen Verteidigers nur dann übernimmt, wenn der Beschul- digte bedürftig ist (Art. 38 Abs. 2 BStP). Fehlt es an der Bedürftigkeit, hat sich der Verteidiger hinsichtlich seiner Honorarforderung an seinen Klienten zu 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