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BA.2009.1 vom 13. Mai 2009</w:t>
      </w:r>
    </w:p>
    <w:p>
      <w:r>
        <w:t>Bundesstrafgericht, 2009-05-13, DE</w:t>
      </w:r>
    </w:p>
    <w:p>
      <w:r>
        <w:rPr>
          <w:b/>
        </w:rPr>
        <w:t xml:space="preserve">Quelle: </w:t>
      </w:r>
      <w:r>
        <w:t>https://mcp.opencaselaw.ch/entscheid/bstger_BA.2009.1</w:t>
      </w:r>
    </w:p>
    <w:p>
      <w:r>
        <w:t>FR: TPF BA.2009.1 du 13 mai 2009</w:t>
      </w:r>
    </w:p>
    <w:p>
      <w:r>
        <w:t>IT: TPF BA.2009.1 del 13 maggio 2009</w:t>
      </w:r>
    </w:p>
    <w:p>
      <w:pPr>
        <w:pStyle w:val="Heading2"/>
      </w:pPr>
      <w:r>
        <w:t>Regeste</w:t>
      </w:r>
    </w:p>
    <w:p>
      <w:r>
        <w:t>Ausstand (Art. 99 Abs. 2 BStP i.V.m. Art. 34 ff. BGG), unentgeltliche Rechtspflege (Art. 64 Abs. 1 BGG)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September 2006, SR 173.711.31);</w:t>
      </w:r>
    </w:p>
    <w:p>
      <w:r>
        <w:t>- vorliegend aufgrund der Aussichtslosigkeit des Rechtsbegehrens die entstan- denen Anwaltskosten nicht als notwendig anzusehen sind und daher keine Entschädigung an den amtlichen Verteidiger zu entrichten ist (Art. 245 Abs. 1 BStP i.V.m. Art. 66 Abs. 3 BGG; Art. 2 und 3 desselben Reglements e contra- rio);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