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AU.2007.1_A vom 18. Dezember 2007</w:t>
      </w:r>
    </w:p>
    <w:p>
      <w:r>
        <w:t>Bundesstrafgericht, 2007-12-18, DE</w:t>
      </w:r>
    </w:p>
    <w:p>
      <w:r>
        <w:rPr>
          <w:b/>
        </w:rPr>
        <w:t xml:space="preserve">Quelle: </w:t>
      </w:r>
      <w:r>
        <w:t>https://mcp.opencaselaw.ch/entscheid/bstger_AU.2007.1_A</w:t>
      </w:r>
    </w:p>
    <w:p>
      <w:r>
        <w:t>FR: TPF AU.2007.1_A du 18 décembre 2007</w:t>
      </w:r>
    </w:p>
    <w:p>
      <w:r>
        <w:t>IT: TPF AU.2007.1_A del 18 dicembre 2007</w:t>
      </w:r>
    </w:p>
    <w:p>
      <w:pPr>
        <w:pStyle w:val="Heading2"/>
      </w:pPr>
      <w:r>
        <w:t>Regeste</w:t>
      </w:r>
    </w:p>
    <w:p>
      <w:r>
        <w:t>Fachliche Aufsicht über die Bundesanwaltschaft (Art. 28 Abs. 2 SGG) &amp;ndash; Information der GPK/N über Verfahrensakten und anschliessende Präsentation bzw. Übergabe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Es sind keine Kosten zu erheben.</w:t>
      </w:r>
    </w:p>
    <w:p>
      <w:r>
        <w:t>- 14 -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