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BS_SOZIALVERSICHERUNGSGERICHT ZV.2018.7 vom 6. März 2019</w:t>
      </w:r>
    </w:p>
    <w:p>
      <w:r>
        <w:t>Bs Sozialversicherungsgericht, 2019-03-06, DE</w:t>
      </w:r>
    </w:p>
    <w:p>
      <w:r>
        <w:rPr>
          <w:b/>
        </w:rPr>
        <w:t xml:space="preserve">Quelle: </w:t>
      </w:r>
      <w:r>
        <w:t>https://mcp.opencaselaw.ch/entscheid/bs_sozialversicherungsgericht_ZV.2018.7</w:t>
      </w:r>
    </w:p>
    <w:p>
      <w:r>
        <w:t>FR: BS_SOZIALVERSICHERUNGSGERICHT ZV.2018.7 du 6 mars 2019</w:t>
      </w:r>
    </w:p>
    <w:p>
      <w:r>
        <w:t>IT: BS_SOZIALVERSICHERUNGSGERICHT ZV.2018.7 del 6 marzo 2019</w:t>
      </w:r>
    </w:p>
    <w:p>
      <w:pPr>
        <w:pStyle w:val="Heading2"/>
      </w:pPr>
      <w:r>
        <w:t>Volltext</w:t>
      </w:r>
    </w:p>
    <w:p>
      <w:r>
        <w:t>Sozialversicherungsgericht</w:t>
      </w:r>
    </w:p>
    <w:p>
      <w:r>
        <w:t>des Kantons Basel-Stadt</w:t>
      </w:r>
    </w:p>
    <w:p>
      <w:r>
        <w:t>URTEIL</w:t>
      </w:r>
    </w:p>
    <w:p>
      <w:r>
        <w:t>vom6. März 2019</w:t>
      </w:r>
    </w:p>
    <w:p>
      <w:r>
        <w:t>Mitwirkende</w:t>
      </w:r>
    </w:p>
    <w:p>
      <w:r>
        <w:t>Dr. A. Pfleiderer (Vorsitz), P. Waegeli, lic. phil. D. Borer</w:t>
      </w:r>
    </w:p>
    <w:p>
      <w:r>
        <w:t>und Gerichtsschreiberin MLaw K. Zimmermann</w:t>
      </w:r>
    </w:p>
    <w:p>
      <w:r>
        <w:t>Parteien</w:t>
      </w:r>
    </w:p>
    <w:p>
      <w:r>
        <w:t>A____</w:t>
      </w:r>
    </w:p>
    <w:p>
      <w:r>
        <w:t>Rechtsabteilung, [...]</w:t>
      </w:r>
    </w:p>
    <w:p>
      <w:r>
        <w:t>Klägerin</w:t>
      </w:r>
    </w:p>
    <w:p>
      <w:r>
        <w:t>B____</w:t>
      </w:r>
    </w:p>
    <w:p>
      <w:r>
        <w:t>[...]</w:t>
      </w:r>
    </w:p>
    <w:p>
      <w:r>
        <w:t>vertreten durch C____, [...]</w:t>
      </w:r>
    </w:p>
    <w:p>
      <w:r>
        <w:t>Beklagte</w:t>
      </w:r>
    </w:p>
    <w:p>
      <w:r>
        <w:t>Gegenstand</w:t>
      </w:r>
    </w:p>
    <w:p>
      <w:r>
        <w:t>ZV.2018.7</w:t>
      </w:r>
    </w:p>
    <w:p>
      <w:r>
        <w:t>Klage vom 9. Mai 2018</w:t>
      </w:r>
    </w:p>
    <w:p>
      <w:r>
        <w:t>Rückforderung von Krankentaggeldern wegen Anzeigepflichtverletzung</w:t>
      </w:r>
    </w:p>
    <w:p>
      <w:r>
        <w:t>Die Präsidentin                                                         Die Gerichtsschreiberin</w:t>
      </w:r>
    </w:p>
    <w:p>
      <w:r>
        <w:t>Dr. A. PfleidererMLaw K. Zimmermann</w:t>
      </w:r>
    </w:p>
    <w:p>
      <w:r>
        <w:t>Gegen diesen Entscheid kann unter den Voraussetzungen von Art. 72 ff. des Bundesgerichtsgesetzes [BGG] innert 30 Tagen seit schriftlicher Eröffnung Beschwerde in Zivilsachen erhoben werden.</w:t>
      </w:r>
    </w:p>
    <w:p>
      <w:r>
        <w:t>Die Beschwerdeschrift ist fristgerecht dem Bundesgericht (1000 Lausanne 14) einzureichen. Für die Anforderungen an deren Inhalt wird auf Art. 42 BGG verwiesen. Über die Zulässigkeit des Rechtsmittels entscheidet das Bundesgericht.</w:t>
      </w:r>
    </w:p>
    <w:p>
      <w:r>
        <w:t>Ob an Stelle der Beschwerde in Zivilsachen ein anderes Rechtsmittel in Frage kommt (z.B. die subsidiäre Verfassungsbeschwerde an das Bundesgericht gemäss Art. 113 BGG), ergibt sich aus den anwendbaren gesetzlichen Bestimmungen. Wird sowohl Beschwerde in Zivilsachen als auch Verfassungsbeschwerde erhoben, sind beide Rechtsmittel in der gleichen Rechtsschrift einzureichen.</w:t>
      </w:r>
    </w:p>
    <w:p>
      <w:r>
        <w:t>Geht an:</w:t>
      </w:r>
    </w:p>
    <w:p>
      <w:r>
        <w:t>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