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UV.2025.8 vom 21. Oktober 2025</w:t>
      </w:r>
    </w:p>
    <w:p>
      <w:r>
        <w:t>Bs Sozialversicherungsgericht, 2025-10-21, DE</w:t>
      </w:r>
    </w:p>
    <w:p>
      <w:r>
        <w:rPr>
          <w:b/>
        </w:rPr>
        <w:t xml:space="preserve">Quelle: </w:t>
      </w:r>
      <w:r>
        <w:t>https://mcp.opencaselaw.ch/entscheid/bs_sozialversicherungsgericht_UV.2025.8</w:t>
      </w:r>
    </w:p>
    <w:p>
      <w:r>
        <w:t>FR: BS_SOZIALVERSICHERUNGSGERICHT UV.2025.8 du 21 octobre 2025</w:t>
      </w:r>
    </w:p>
    <w:p>
      <w:r>
        <w:t>IT: BS_SOZIALVERSICHERUNGSGERICHT UV.2025.8 del 21 ottobre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Oktober 2025</w:t>
      </w:r>
    </w:p>
    <w:p>
      <w:r>
        <w:t>Mitwirkende</w:t>
      </w:r>
    </w:p>
    <w:p>
      <w:r>
        <w:t>Dr. G. Thomi (Vorsitz), Dr. med.W. Rühl, Dr. T. Fasnacht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Patrick Wagner, Advokat, Swisslawlist AG, Lange Gasse 90, 4052 Basel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UV.2025.8</w:t>
      </w:r>
    </w:p>
    <w:p>
      <w:r>
        <w:t>Einspracheentscheid vom 2. Januar 2025</w:t>
      </w:r>
    </w:p>
    <w:p>
      <w:r>
        <w:t>E-Mail mangels Manifestierung eines Einsprachewillens zu Recht nicht als Einsprache (Art. 52 Abs. 1 ATSG) qualifiziert und damit richtigerweise auch keine Nachfrist zur Behebung der formellen Mängel gesetzt (Art. 10 Abs. 5 ATSV); keine Verletzung von Treu und Glauben (Art. 5 Abs. 3 und 9 BV)</w:t>
      </w:r>
    </w:p>
    <w:p>
      <w:r>
        <w:t>Der Präsident      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