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UV.2025.2 vom 26. November 2024</w:t>
      </w:r>
    </w:p>
    <w:p>
      <w:r>
        <w:t>Bs Sozialversicherungsgericht, 2024-11-26, DE</w:t>
      </w:r>
    </w:p>
    <w:p>
      <w:r>
        <w:rPr>
          <w:b/>
        </w:rPr>
        <w:t xml:space="preserve">Quelle: </w:t>
      </w:r>
      <w:r>
        <w:t>https://mcp.opencaselaw.ch/entscheid/bs_sozialversicherungsgericht_UV.2025.2</w:t>
      </w:r>
    </w:p>
    <w:p>
      <w:r>
        <w:t>FR: BS_SOZIALVERSICHERUNGSGERICHT UV.2025.2 du 26 novembre 2024</w:t>
      </w:r>
    </w:p>
    <w:p>
      <w:r>
        <w:t>IT: BS_SOZIALVERSICHERUNGSGERICHT UV.2025.2 del 26 novembre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Juni 2025</w:t>
      </w:r>
    </w:p>
    <w:p>
      <w:r>
        <w:t>Mitwirkende</w:t>
      </w:r>
    </w:p>
    <w:p>
      <w:r>
        <w:t>lic. iur. R. Schnyder (Vorsitz), lic. iur. M. Prack Hoenen, Dr. med. W. Rühlund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Anouck Zehntner, indemnis, Spalenberg 20, Postfach 1460, 4001 Basel</w:t>
      </w:r>
    </w:p>
    <w:p>
      <w:r>
        <w:t>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UV.2025.2</w:t>
      </w:r>
    </w:p>
    <w:p>
      <w:r>
        <w:t>Einspracheentscheid vom 26. November 2024</w:t>
      </w:r>
    </w:p>
    <w:p>
      <w:r>
        <w:t>Zu Unrecht wirtschaftliche Verwertbarkeit der Restarbeitsfähigkeit angenommen und zu tiefen versicherten Verdienst berechnet; Beschwerde gutgeheissen</w:t>
      </w:r>
    </w:p>
    <w:p>
      <w:r>
        <w:t>Die Präsidentin                                                  Der Gerichtsschreiber</w:t>
      </w:r>
    </w:p>
    <w:p>
      <w:r>
        <w:t>lic. iur. R. SchnyderDr.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