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UV.2025.15 vom 10. Februar 2026</w:t>
      </w:r>
    </w:p>
    <w:p>
      <w:r>
        <w:t>Bs Sozialversicherungsgericht, 2026-02-10, DE</w:t>
      </w:r>
    </w:p>
    <w:p>
      <w:r>
        <w:rPr>
          <w:b/>
        </w:rPr>
        <w:t xml:space="preserve">Quelle: </w:t>
      </w:r>
      <w:r>
        <w:t>https://mcp.opencaselaw.ch/entscheid/bs_sozialversicherungsgericht_UV.2025.15</w:t>
      </w:r>
    </w:p>
    <w:p>
      <w:r>
        <w:t>FR: BS_SOZIALVERSICHERUNGSGERICHT UV.2025.15 du 10 février 2026</w:t>
      </w:r>
    </w:p>
    <w:p>
      <w:r>
        <w:t>IT: BS_SOZIALVERSICHERUNGSGERICHT UV.2025.15 del 10 febbraio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Februar 2026</w:t>
      </w:r>
    </w:p>
    <w:p>
      <w:r>
        <w:t>Mitwirkende</w:t>
      </w:r>
    </w:p>
    <w:p>
      <w:r>
        <w:t>Dr. A. Pfleiderer (Vorsitz), P. Kaderli, Dr. phil. N. Bechtel</w:t>
      </w:r>
    </w:p>
    <w:p>
      <w:r>
        <w:t>und a.o. Gerichtsschreiber L. Aellig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UV.2025.15</w:t>
      </w:r>
    </w:p>
    <w:p>
      <w:r>
        <w:t>Einspracheentscheid vom 14. Februar 2025</w:t>
      </w:r>
    </w:p>
    <w:p>
      <w:r>
        <w:t>Zahnunfall, Behandlung muss die WZW-Kriterien erfüllen</w:t>
      </w:r>
    </w:p>
    <w:p>
      <w:r>
        <w:t>Die Präsidentin                                                  Der a.o. Gerichtsschreiber</w:t>
      </w:r>
    </w:p>
    <w:p>
      <w:r>
        <w:t>Dr. A. PfleidererMLaw L. Aellig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