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UV.2024.44 vom 25. Februar 2025</w:t>
      </w:r>
    </w:p>
    <w:p>
      <w:r>
        <w:t>Bs Sozialversicherungsgericht, 2025-02-25, DE</w:t>
      </w:r>
    </w:p>
    <w:p>
      <w:r>
        <w:rPr>
          <w:b/>
        </w:rPr>
        <w:t xml:space="preserve">Quelle: </w:t>
      </w:r>
      <w:r>
        <w:t>https://mcp.opencaselaw.ch/entscheid/bs_sozialversicherungsgericht_UV.2024.44</w:t>
      </w:r>
    </w:p>
    <w:p>
      <w:r>
        <w:t>FR: BS_SOZIALVERSICHERUNGSGERICHT UV.2024.44 du 25 février 2025</w:t>
      </w:r>
    </w:p>
    <w:p>
      <w:r>
        <w:t>IT: BS_SOZIALVERSICHERUNGSGERICHT UV.2024.44 del 25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Februar 2025</w:t>
      </w:r>
    </w:p>
    <w:p>
      <w:r>
        <w:t>Mitwirkende</w:t>
      </w:r>
    </w:p>
    <w:p>
      <w:r>
        <w:t>Dr. G. Thomi (Vorsitz), Dr. med. F. W. Eymann,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UV.2024.44</w:t>
      </w:r>
    </w:p>
    <w:p>
      <w:r>
        <w:t>Rechtsverweigerungs- und Rechtsverzögerungsbeschwerde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