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UV.2024.42 vom 21. November 2024</w:t>
      </w:r>
    </w:p>
    <w:p>
      <w:r>
        <w:t>Bs Sozialversicherungsgericht, 2024-11-21, DE</w:t>
      </w:r>
    </w:p>
    <w:p>
      <w:r>
        <w:rPr>
          <w:b/>
        </w:rPr>
        <w:t xml:space="preserve">Quelle: </w:t>
      </w:r>
      <w:r>
        <w:t>https://mcp.opencaselaw.ch/entscheid/bs_sozialversicherungsgericht_UV.2024.42</w:t>
      </w:r>
    </w:p>
    <w:p>
      <w:r>
        <w:t>FR: BS_SOZIALVERSICHERUNGSGERICHT UV.2024.42 du 21 novembre 2024</w:t>
      </w:r>
    </w:p>
    <w:p>
      <w:r>
        <w:t>IT: BS_SOZIALVERSICHERUNGSGERICHT UV.2024.42 del 21 novembre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März 2025</w:t>
      </w:r>
    </w:p>
    <w:p>
      <w:r>
        <w:t>Mitwirkende</w:t>
      </w:r>
    </w:p>
    <w:p>
      <w:r>
        <w:t>Dr. A. Pfleiderer (Vorsitz), Dr. med. F. W. Eymann, S. Schenker</w:t>
      </w:r>
    </w:p>
    <w:p>
      <w:r>
        <w:t>und Gerichtsschreiber Dr. M. Kreis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UV.2024.42</w:t>
      </w:r>
    </w:p>
    <w:p>
      <w:r>
        <w:t>Einspracheentscheid vom 21. November 2024</w:t>
      </w:r>
    </w:p>
    <w:p>
      <w:r>
        <w:t>Die kreisärztlichen Feststellungen bilden eine taugliche Beurteilungsgrundlage; die Unfallkausalität wurde vorliegend zu Recht verneint</w:t>
      </w:r>
    </w:p>
    <w:p>
      <w:r>
        <w:t>Die Präsidentin                                                  Der Gerichtsschreiber</w:t>
      </w:r>
    </w:p>
    <w:p>
      <w:r>
        <w:t>Dr. A. PfleidererDr. M. Kreis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