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UV.2024.18 vom 28. Mai 2024</w:t>
      </w:r>
    </w:p>
    <w:p>
      <w:r>
        <w:t>Bs Sozialversicherungsgericht, 2024-05-28, DE</w:t>
      </w:r>
    </w:p>
    <w:p>
      <w:r>
        <w:rPr>
          <w:b/>
        </w:rPr>
        <w:t xml:space="preserve">Quelle: </w:t>
      </w:r>
      <w:r>
        <w:t>https://mcp.opencaselaw.ch/entscheid/bs_sozialversicherungsgericht_UV.2024.18</w:t>
      </w:r>
    </w:p>
    <w:p>
      <w:r>
        <w:t>FR: BS_SOZIALVERSICHERUNGSGERICHT UV.2024.18 du 28 mai 2024</w:t>
      </w:r>
    </w:p>
    <w:p>
      <w:r>
        <w:t>IT: BS_SOZIALVERSICHERUNGSGERICHT UV.2024.18 del 28 maggio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März 2025</w:t>
      </w:r>
    </w:p>
    <w:p>
      <w:r>
        <w:t>Mitwirkende</w:t>
      </w:r>
    </w:p>
    <w:p>
      <w:r>
        <w:t>lic. iur. R. Schnyder (Vorsitz), lic. iur. M. Prack Hoenen,Dr. med. F. W. Eymann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 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UV.2024.18</w:t>
      </w:r>
    </w:p>
    <w:p>
      <w:r>
        <w:t>Einsprachenentscheid vom 28. Mai 2024</w:t>
      </w:r>
    </w:p>
    <w:p>
      <w:r>
        <w:t>Zumutbarkeitsprofil nicht zu beanstanden, kurzer Unterbruch der Arbeitsunfähigkeit mit Antritt neuer Stelle, Valideneinkommen strittig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