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UV.2024.17 vom 2. Juni 2025</w:t>
      </w:r>
    </w:p>
    <w:p>
      <w:r>
        <w:t>Bs Sozialversicherungsgericht, 2025-06-02, DE</w:t>
      </w:r>
    </w:p>
    <w:p>
      <w:r>
        <w:rPr>
          <w:b/>
        </w:rPr>
        <w:t xml:space="preserve">Quelle: </w:t>
      </w:r>
      <w:r>
        <w:t>https://mcp.opencaselaw.ch/entscheid/bs_sozialversicherungsgericht_UV.2024.17</w:t>
      </w:r>
    </w:p>
    <w:p>
      <w:r>
        <w:t>FR: BS_SOZIALVERSICHERUNGSGERICHT UV.2024.17 du 2 juin 2025</w:t>
      </w:r>
    </w:p>
    <w:p>
      <w:r>
        <w:t>IT: BS_SOZIALVERSICHERUNGSGERICHT UV.2024.17 del 2 giugno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2. Juni 2025</w:t>
      </w:r>
    </w:p>
    <w:p>
      <w:r>
        <w:t>Mitwirkende</w:t>
      </w:r>
    </w:p>
    <w:p>
      <w:r>
        <w:t>Dr. A. Pfleiderer (Vorsitz), Dr. med.W. Rühl, MLaw B. Fürbringer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UV.2024.17</w:t>
      </w:r>
    </w:p>
    <w:p>
      <w:r>
        <w:t>Einspracheentscheid vom 29. Mai 2024</w:t>
      </w:r>
    </w:p>
    <w:p>
      <w:r>
        <w:t>Rückerstattung nach Art. 25 ATSG; Meldepflichtverletzung; Beginn der relativen Verwirkungsfrist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