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UV.2024.16 vom 17. Mai 2024</w:t>
      </w:r>
    </w:p>
    <w:p>
      <w:r>
        <w:t>Bs Sozialversicherungsgericht, 2024-05-17, DE</w:t>
      </w:r>
    </w:p>
    <w:p>
      <w:r>
        <w:rPr>
          <w:b/>
        </w:rPr>
        <w:t xml:space="preserve">Quelle: </w:t>
      </w:r>
      <w:r>
        <w:t>https://mcp.opencaselaw.ch/entscheid/bs_sozialversicherungsgericht_UV.2024.16</w:t>
      </w:r>
    </w:p>
    <w:p>
      <w:r>
        <w:t>FR: BS_SOZIALVERSICHERUNGSGERICHT UV.2024.16 du 17 mai 2024</w:t>
      </w:r>
    </w:p>
    <w:p>
      <w:r>
        <w:t>IT: BS_SOZIALVERSICHERUNGSGERICHT UV.2024.16 del 17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November 2024</w:t>
      </w:r>
    </w:p>
    <w:p>
      <w:r>
        <w:t>Mitwirkende</w:t>
      </w:r>
    </w:p>
    <w:p>
      <w:r>
        <w:t>Dr. G. Thomi (Vorsitz), MLaw A. Zalad, S. Schenker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[...]</w:t>
      </w:r>
    </w:p>
    <w:p>
      <w:r>
        <w:t>Beschwerdegegnerin</w:t>
      </w:r>
    </w:p>
    <w:p>
      <w:r>
        <w:t>Gegenstand</w:t>
      </w:r>
    </w:p>
    <w:p>
      <w:r>
        <w:t>UV.2024.16</w:t>
      </w:r>
    </w:p>
    <w:p>
      <w:r>
        <w:t>Einspracheentscheid vom 17. Mai 2024</w:t>
      </w:r>
    </w:p>
    <w:p>
      <w:r>
        <w:t>Fallabschluss zu Recht erfolgt und richtigerweise Invalidenrente bei einem IV-Grad von 13 % zugesprochen; Anspruch auf Integritätsentschädigung korrekterweise abgelehnt; Beschwerde abgewiesen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