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UV.2024.13 vom 11. April 2024</w:t>
      </w:r>
    </w:p>
    <w:p>
      <w:r>
        <w:t>Bs Sozialversicherungsgericht, 2024-04-11, DE</w:t>
      </w:r>
    </w:p>
    <w:p>
      <w:r>
        <w:rPr>
          <w:b/>
        </w:rPr>
        <w:t xml:space="preserve">Quelle: </w:t>
      </w:r>
      <w:r>
        <w:t>https://mcp.opencaselaw.ch/entscheid/bs_sozialversicherungsgericht_UV.2024.13</w:t>
      </w:r>
    </w:p>
    <w:p>
      <w:r>
        <w:t>FR: BS_SOZIALVERSICHERUNGSGERICHT UV.2024.13 du 11 avril 2024</w:t>
      </w:r>
    </w:p>
    <w:p>
      <w:r>
        <w:t>IT: BS_SOZIALVERSICHERUNGSGERICHT UV.2024.13 del 11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2025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Caroline Franz Waldner, Advokatin,</w:t>
      </w:r>
    </w:p>
    <w:p>
      <w:r>
        <w:t>Behindertenforum Region Basel,</w:t>
      </w:r>
    </w:p>
    <w:p>
      <w:r>
        <w:t>Bachlettenstrasse 12, 4054 Basel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UV.2024.13</w:t>
      </w:r>
    </w:p>
    <w:p>
      <w:r>
        <w:t>Einspracheentscheid vom 11. April 2024</w:t>
      </w:r>
    </w:p>
    <w:p>
      <w:r>
        <w:t>Berufskrankheit Long-Covid; adäquater Kausalzusammenhang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