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UV.2023.47 vom 18. August 2023</w:t>
      </w:r>
    </w:p>
    <w:p>
      <w:r>
        <w:t>Bs Sozialversicherungsgericht, 2023-08-18, DE</w:t>
      </w:r>
    </w:p>
    <w:p>
      <w:r>
        <w:rPr>
          <w:b/>
        </w:rPr>
        <w:t xml:space="preserve">Quelle: </w:t>
      </w:r>
      <w:r>
        <w:t>https://mcp.opencaselaw.ch/entscheid/bs_sozialversicherungsgericht_UV.2023.47</w:t>
      </w:r>
    </w:p>
    <w:p>
      <w:r>
        <w:t>FR: BS_SOZIALVERSICHERUNGSGERICHT UV.2023.47 du 18 août 2023</w:t>
      </w:r>
    </w:p>
    <w:p>
      <w:r>
        <w:t>IT: BS_SOZIALVERSICHERUNGSGERICHT UV.2023.47 del 18 agosto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 März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lic. iur. C____, [...]</w:t>
      </w:r>
    </w:p>
    <w:p>
      <w:r>
        <w:t>Beschwerdegegnerin</w:t>
      </w:r>
    </w:p>
    <w:p>
      <w:r>
        <w:t>Gegenstand</w:t>
      </w:r>
    </w:p>
    <w:p>
      <w:r>
        <w:t>UV.2023.47</w:t>
      </w:r>
    </w:p>
    <w:p>
      <w:r>
        <w:t>Einspracheentscheid vom 18. August 2023</w:t>
      </w:r>
    </w:p>
    <w:p>
      <w:r>
        <w:t>Zweifel an der versicherungsinternen Beurteilung des Kreisarztes, versicherungsexterne Abklärung notwendig; Beschwerdegutheissung.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