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UV.2023.34 vom 8. Juni 2023</w:t>
      </w:r>
    </w:p>
    <w:p>
      <w:r>
        <w:t>Bs Sozialversicherungsgericht, 2023-06-08, DE</w:t>
      </w:r>
    </w:p>
    <w:p>
      <w:r>
        <w:rPr>
          <w:b/>
        </w:rPr>
        <w:t xml:space="preserve">Quelle: </w:t>
      </w:r>
      <w:r>
        <w:t>https://mcp.opencaselaw.ch/entscheid/bs_sozialversicherungsgericht_UV.2023.34</w:t>
      </w:r>
    </w:p>
    <w:p>
      <w:r>
        <w:t>FR: BS_SOZIALVERSICHERUNGSGERICHT UV.2023.34 du 8 juin 2023</w:t>
      </w:r>
    </w:p>
    <w:p>
      <w:r>
        <w:t>IT: BS_SOZIALVERSICHERUNGSGERICHT UV.2023.34 del 8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2023</w:t>
      </w:r>
    </w:p>
    <w:p>
      <w:r>
        <w:t>Mitwirkende</w:t>
      </w:r>
    </w:p>
    <w:p>
      <w:r>
        <w:t>Dr. G. Thomi (Vorsitz), Dr. med. 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Advokatin, [...]</w:t>
      </w:r>
    </w:p>
    <w:p>
      <w:r>
        <w:t>Beschwerdeführer</w:t>
      </w:r>
    </w:p>
    <w:p>
      <w:r>
        <w:t>C____ AG [...]</w:t>
      </w:r>
    </w:p>
    <w:p>
      <w:r>
        <w:t>Beschwerdegegnerin</w:t>
      </w:r>
    </w:p>
    <w:p>
      <w:r>
        <w:t>Gegenstand</w:t>
      </w:r>
    </w:p>
    <w:p>
      <w:r>
        <w:t>UV.2023.34</w:t>
      </w:r>
    </w:p>
    <w:p>
      <w:r>
        <w:t>Einspracheentscheid vom 8. Juni 2023</w:t>
      </w:r>
    </w:p>
    <w:p>
      <w:r>
        <w:t>Versicherungsexternes Gutachten notwendig; Beschwerdegutheissung.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