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UV.2023.19 vom 28. März 2023</w:t>
      </w:r>
    </w:p>
    <w:p>
      <w:r>
        <w:t>Bs Sozialversicherungsgericht, 2023-03-28, DE</w:t>
      </w:r>
    </w:p>
    <w:p>
      <w:r>
        <w:rPr>
          <w:b/>
        </w:rPr>
        <w:t xml:space="preserve">Quelle: </w:t>
      </w:r>
      <w:r>
        <w:t>https://mcp.opencaselaw.ch/entscheid/bs_sozialversicherungsgericht_UV.2023.19</w:t>
      </w:r>
    </w:p>
    <w:p>
      <w:r>
        <w:t>FR: BS_SOZIALVERSICHERUNGSGERICHT UV.2023.19 du 28 mars 2023</w:t>
      </w:r>
    </w:p>
    <w:p>
      <w:r>
        <w:t>IT: BS_SOZIALVERSICHERUNGSGERICHT UV.2023.19 del 28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2023</w:t>
      </w:r>
    </w:p>
    <w:p>
      <w:r>
        <w:t>Mitwirkende</w:t>
      </w:r>
    </w:p>
    <w:p>
      <w:r>
        <w:t>Dr. G. Thomi (Vorsitz), C. Müller, Dr. med. F. W. Eymann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</w:t>
      </w:r>
    </w:p>
    <w:p>
      <w:r>
        <w:t>Fluhmattstrasse 1, Postfach, 6002 Luzern</w:t>
      </w:r>
    </w:p>
    <w:p>
      <w:r>
        <w:t>Beschwerdegegnerin</w:t>
      </w:r>
    </w:p>
    <w:p>
      <w:r>
        <w:t>Gegenstand</w:t>
      </w:r>
    </w:p>
    <w:p>
      <w:r>
        <w:t>UV.2023.19</w:t>
      </w:r>
    </w:p>
    <w:p>
      <w:r>
        <w:t>Einspracheentscheid vom 28. März 2023</w:t>
      </w:r>
    </w:p>
    <w:p>
      <w:r>
        <w:t>Leistungseinstellung. Zweifel an versicherungsinterner Beurteilung. Rückweisung zur externen Begutachtung. Beschwerde gutgeheissen.</w:t>
      </w:r>
    </w:p>
    <w:p>
      <w:r>
        <w:t>Der Präsident                                                    Die a.o. Gerichtsschreiberin</w:t>
      </w:r>
    </w:p>
    <w:p>
      <w:r>
        <w:t>Dr. G. Thomi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