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UV.2021.22 vom 29. November 2021</w:t>
      </w:r>
    </w:p>
    <w:p>
      <w:r>
        <w:t>Bs Sozialversicherungsgericht, 2021-11-29, DE</w:t>
      </w:r>
    </w:p>
    <w:p>
      <w:r>
        <w:rPr>
          <w:b/>
        </w:rPr>
        <w:t xml:space="preserve">Quelle: </w:t>
      </w:r>
      <w:r>
        <w:t>https://mcp.opencaselaw.ch/entscheid/bs_sozialversicherungsgericht_UV.2021.22</w:t>
      </w:r>
    </w:p>
    <w:p>
      <w:r>
        <w:t>FR: BS_SOZIALVERSICHERUNGSGERICHT UV.2021.22 du 29 novembre 2021</w:t>
      </w:r>
    </w:p>
    <w:p>
      <w:r>
        <w:t>IT: BS_SOZIALVERSICHERUNGSGERICHT UV.2021.22 del 29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 November 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UV.2021.22</w:t>
      </w:r>
    </w:p>
    <w:p>
      <w:r>
        <w:t>Einspracheentscheid vom 28. Mai 2021</w:t>
      </w:r>
    </w:p>
    <w:p>
      <w:r>
        <w:t>Zweifel am versicherungsinternen Bericht zur Unfallkausalität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