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UV.2021.21 vom 20. Mai 2021</w:t>
      </w:r>
    </w:p>
    <w:p>
      <w:r>
        <w:t>Bs Sozialversicherungsgericht, 2021-05-20, DE</w:t>
      </w:r>
    </w:p>
    <w:p>
      <w:r>
        <w:rPr>
          <w:b/>
        </w:rPr>
        <w:t xml:space="preserve">Quelle: </w:t>
      </w:r>
      <w:r>
        <w:t>https://mcp.opencaselaw.ch/entscheid/bs_sozialversicherungsgericht_UV.2021.21</w:t>
      </w:r>
    </w:p>
    <w:p>
      <w:r>
        <w:t>FR: BS_SOZIALVERSICHERUNGSGERICHT UV.2021.21 du 20 mai 2021</w:t>
      </w:r>
    </w:p>
    <w:p>
      <w:r>
        <w:t>IT: BS_SOZIALVERSICHERUNGSGERICHT UV.2021.21 del 20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Dezember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UV.2021.21</w:t>
      </w:r>
    </w:p>
    <w:p>
      <w:r>
        <w:t>Einspracheentscheid vom 20. Mai 2021</w:t>
      </w:r>
    </w:p>
    <w:p>
      <w:r>
        <w:t>Würdigung mehrerer Gutachten zur Unfallkausalität. Unfallkausalität bejaht. Letztes, die Kausalität verneinendes Gutachten vermag die Vorgutachten nicht zu widerlegen.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