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UV.2021.17 vom 20. Mai 2021</w:t>
      </w:r>
    </w:p>
    <w:p>
      <w:r>
        <w:t>Bs Sozialversicherungsgericht, 2021-05-20, DE</w:t>
      </w:r>
    </w:p>
    <w:p>
      <w:r>
        <w:rPr>
          <w:b/>
        </w:rPr>
        <w:t xml:space="preserve">Quelle: </w:t>
      </w:r>
      <w:r>
        <w:t>https://mcp.opencaselaw.ch/entscheid/bs_sozialversicherungsgericht_UV.2021.17</w:t>
      </w:r>
    </w:p>
    <w:p>
      <w:r>
        <w:t>FR: BS_SOZIALVERSICHERUNGSGERICHT UV.2021.17 du 20 mai 2021</w:t>
      </w:r>
    </w:p>
    <w:p>
      <w:r>
        <w:t>IT: BS_SOZIALVERSICHERUNGSGERICHT UV.2021.17 del 20 maggio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14. Juli 2021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SUVA, Rechtsabteilung,</w:t>
      </w:r>
    </w:p>
    <w:p>
      <w:r>
        <w:t>Fluhmattstrasse 1, Postfach, 6002 Luzern</w:t>
      </w:r>
    </w:p>
    <w:p>
      <w:r>
        <w:t>Beschwerdegegnerin</w:t>
      </w:r>
    </w:p>
    <w:p>
      <w:r>
        <w:t>Gegenstand</w:t>
      </w:r>
    </w:p>
    <w:p>
      <w:r>
        <w:t>UV.2021.17</w:t>
      </w:r>
    </w:p>
    <w:p>
      <w:r>
        <w:t>Einspracheentscheid vom 20. Mai 2021</w:t>
      </w:r>
    </w:p>
    <w:p>
      <w:r>
        <w:t>Unfallkausalität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                                                        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