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UV.2020.55 vom 18. November 2020</w:t>
      </w:r>
    </w:p>
    <w:p>
      <w:r>
        <w:t>Bs Sozialversicherungsgericht, 2020-11-18, DE</w:t>
      </w:r>
    </w:p>
    <w:p>
      <w:r>
        <w:rPr>
          <w:b/>
        </w:rPr>
        <w:t xml:space="preserve">Quelle: </w:t>
      </w:r>
      <w:r>
        <w:t>https://mcp.opencaselaw.ch/entscheid/bs_sozialversicherungsgericht_UV.2020.55</w:t>
      </w:r>
    </w:p>
    <w:p>
      <w:r>
        <w:t>FR: BS_SOZIALVERSICHERUNGSGERICHT UV.2020.55 du 18 novembre 2020</w:t>
      </w:r>
    </w:p>
    <w:p>
      <w:r>
        <w:t>IT: BS_SOZIALVERSICHERUNGSGERICHT UV.2020.55 del 18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Mai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UV.2020.55</w:t>
      </w:r>
    </w:p>
    <w:p>
      <w:r>
        <w:t>Einspracheentscheid vom 18. November 2020</w:t>
      </w:r>
    </w:p>
    <w:p>
      <w:r>
        <w:t>Auf die versicherungsinterne Stellungnahme kann nicht abgestellt werden, weitere Abklärungen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Dr. K. Zimmermann)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