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UV.2020.49 vom 15. Oktober 2020</w:t>
      </w:r>
    </w:p>
    <w:p>
      <w:r>
        <w:t>Bs Sozialversicherungsgericht, 2020-10-15, DE</w:t>
      </w:r>
    </w:p>
    <w:p>
      <w:r>
        <w:rPr>
          <w:b/>
        </w:rPr>
        <w:t xml:space="preserve">Quelle: </w:t>
      </w:r>
      <w:r>
        <w:t>https://mcp.opencaselaw.ch/entscheid/bs_sozialversicherungsgericht_UV.2020.49</w:t>
      </w:r>
    </w:p>
    <w:p>
      <w:r>
        <w:t>FR: BS_SOZIALVERSICHERUNGSGERICHT UV.2020.49 du 15 octobre 2020</w:t>
      </w:r>
    </w:p>
    <w:p>
      <w:r>
        <w:t>IT: BS_SOZIALVERSICHERUNGSGERICHT UV.2020.49 del 15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20. Juli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Advokaturbüro, 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UV.2020.49</w:t>
      </w:r>
    </w:p>
    <w:p>
      <w:r>
        <w:t>Einspracheentscheid vom 15. Oktober 2020</w:t>
      </w:r>
    </w:p>
    <w:p>
      <w:r>
        <w:t>Gründe für Beschwerderückzug sind überwiegend im Verhalten der Beschwerdegegnerin zu finden. Die Beschwerdeführerin hat daher Anspruch auf eine Parteientschädigung.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