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UV.2020.47 vom 23. September 2020</w:t>
      </w:r>
    </w:p>
    <w:p>
      <w:r>
        <w:t>Bs Sozialversicherungsgericht, 2020-09-23, DE</w:t>
      </w:r>
    </w:p>
    <w:p>
      <w:r>
        <w:rPr>
          <w:b/>
        </w:rPr>
        <w:t xml:space="preserve">Quelle: </w:t>
      </w:r>
      <w:r>
        <w:t>https://mcp.opencaselaw.ch/entscheid/bs_sozialversicherungsgericht_UV.2020.47</w:t>
      </w:r>
    </w:p>
    <w:p>
      <w:r>
        <w:t>FR: BS_SOZIALVERSICHERUNGSGERICHT UV.2020.47 du 23 septembre 2020</w:t>
      </w:r>
    </w:p>
    <w:p>
      <w:r>
        <w:t>IT: BS_SOZIALVERSICHERUNGSGERICHT UV.2020.47 del 23 settembre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vom19. April 2021</w:t>
      </w:r>
    </w:p>
    <w:p>
      <w:r>
        <w:t>Mitwirkende</w:t>
      </w:r>
    </w:p>
    <w:p>
      <w:r>
        <w:t>Dr. G. Thomi (Vorsitz), lic. iur. M. Spöndlin, P. Kaderli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vertreten durch B____</w:t>
      </w:r>
    </w:p>
    <w:p>
      <w:r>
        <w:t>Beschwerdeführerin</w:t>
      </w:r>
    </w:p>
    <w:p>
      <w:r>
        <w:t>C____ Versicherungen AG</w:t>
      </w:r>
    </w:p>
    <w:p>
      <w:r>
        <w:t>[...]</w:t>
      </w:r>
    </w:p>
    <w:p>
      <w:r>
        <w:t>vertreten durch D____</w:t>
      </w:r>
    </w:p>
    <w:p>
      <w:r>
        <w:t>Beschwerdegegnerin</w:t>
      </w:r>
    </w:p>
    <w:p>
      <w:r>
        <w:t>Gegenstand</w:t>
      </w:r>
    </w:p>
    <w:p>
      <w:r>
        <w:t>UV.2020.47</w:t>
      </w:r>
    </w:p>
    <w:p>
      <w:r>
        <w:t>Einspracheentscheid vom 23. September 2020</w:t>
      </w:r>
    </w:p>
    <w:p>
      <w:r>
        <w:t>Eintritt des status quo sine; Beweistauglichkeit eines monodisziplinären Gutachtens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