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UV.2020.44 vom 11. September 2020</w:t>
      </w:r>
    </w:p>
    <w:p>
      <w:r>
        <w:t>Bs Sozialversicherungsgericht, 2020-09-11, DE</w:t>
      </w:r>
    </w:p>
    <w:p>
      <w:r>
        <w:rPr>
          <w:b/>
        </w:rPr>
        <w:t xml:space="preserve">Quelle: </w:t>
      </w:r>
      <w:r>
        <w:t>https://mcp.opencaselaw.ch/entscheid/bs_sozialversicherungsgericht_UV.2020.44</w:t>
      </w:r>
    </w:p>
    <w:p>
      <w:r>
        <w:t>FR: BS_SOZIALVERSICHERUNGSGERICHT UV.2020.44 du 11 septembre 2020</w:t>
      </w:r>
    </w:p>
    <w:p>
      <w:r>
        <w:t>IT: BS_SOZIALVERSICHERUNGSGERICHT UV.2020.44 del 11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September 2021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UV.2020.44</w:t>
      </w:r>
    </w:p>
    <w:p>
      <w:r>
        <w:t>Einspracheentscheid vom 11. September 2020</w:t>
      </w:r>
    </w:p>
    <w:p>
      <w:r>
        <w:t>Weiterleistung der zum Teil durch organisch bedingte Unfallfolgen begründeten UVG-Rente, sofern die IVG-Rente gestützt auf lit. a Abs. 1 der Schlussbestimmungen der Änderung vom 18. März 2011 (6. IV-Revision, erstes Massnahmenpaket; in Kraft seit 1. Januar 2012) aufgehoben wird.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