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UV.2020.23 vom 8. Mai 2020</w:t>
      </w:r>
    </w:p>
    <w:p>
      <w:r>
        <w:t>Bs Sozialversicherungsgericht, 2020-05-08, DE</w:t>
      </w:r>
    </w:p>
    <w:p>
      <w:r>
        <w:rPr>
          <w:b/>
        </w:rPr>
        <w:t xml:space="preserve">Quelle: </w:t>
      </w:r>
      <w:r>
        <w:t>https://mcp.opencaselaw.ch/entscheid/bs_sozialversicherungsgericht_UV.2020.23</w:t>
      </w:r>
    </w:p>
    <w:p>
      <w:r>
        <w:t>FR: BS_SOZIALVERSICHERUNGSGERICHT UV.2020.23 du 8 mai 2020</w:t>
      </w:r>
    </w:p>
    <w:p>
      <w:r>
        <w:t>IT: BS_SOZIALVERSICHERUNGSGERICHT UV.2020.23 del 8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2020</w:t>
      </w:r>
    </w:p>
    <w:p>
      <w:r>
        <w:t>Mitwirkende</w:t>
      </w:r>
    </w:p>
    <w:p>
      <w:r>
        <w:t>Dr. G. Thomi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UV.2020.23</w:t>
      </w:r>
    </w:p>
    <w:p>
      <w:r>
        <w:t>Einspracheentscheid vom 8. Mai 2020</w:t>
      </w:r>
    </w:p>
    <w:p>
      <w:r>
        <w:t>Beweiskraft der kreisärztlichen medizinischen Beurteilung bejaht. Adäquanz einer schleudertraumaähnlichen Verletzung verneint.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