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UV.2020.17 vom 25. März 2020</w:t>
      </w:r>
    </w:p>
    <w:p>
      <w:r>
        <w:t>Bs Sozialversicherungsgericht, 2020-03-25, DE</w:t>
      </w:r>
    </w:p>
    <w:p>
      <w:r>
        <w:rPr>
          <w:b/>
        </w:rPr>
        <w:t xml:space="preserve">Quelle: </w:t>
      </w:r>
      <w:r>
        <w:t>https://mcp.opencaselaw.ch/entscheid/bs_sozialversicherungsgericht_UV.2020.17</w:t>
      </w:r>
    </w:p>
    <w:p>
      <w:r>
        <w:t>FR: BS_SOZIALVERSICHERUNGSGERICHT UV.2020.17 du 25 mars 2020</w:t>
      </w:r>
    </w:p>
    <w:p>
      <w:r>
        <w:t>IT: BS_SOZIALVERSICHERUNGSGERICHT UV.2020.17 del 25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Oktober 2020</w:t>
      </w:r>
    </w:p>
    <w:p>
      <w:r>
        <w:t>Mitwirkende</w:t>
      </w:r>
    </w:p>
    <w:p>
      <w:r>
        <w:t>Dr. G. Thomi (Vorsitz), P. Waegeli,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UV.2020.17</w:t>
      </w:r>
    </w:p>
    <w:p>
      <w:r>
        <w:t>Einspracheentscheid vom 25. März 2020</w:t>
      </w:r>
    </w:p>
    <w:p>
      <w:r>
        <w:t>adäquater Kausalzusammenhang bei psychischen Unfallfolgen; strukturiertes Beweisverfahren.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