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UV.2019.6 vom 18. Dezember 2018</w:t>
      </w:r>
    </w:p>
    <w:p>
      <w:r>
        <w:t>Bs Sozialversicherungsgericht, 2018-12-18, DE</w:t>
      </w:r>
    </w:p>
    <w:p>
      <w:r>
        <w:rPr>
          <w:b/>
        </w:rPr>
        <w:t xml:space="preserve">Quelle: </w:t>
      </w:r>
      <w:r>
        <w:t>https://mcp.opencaselaw.ch/entscheid/bs_sozialversicherungsgericht_UV.2019.6</w:t>
      </w:r>
    </w:p>
    <w:p>
      <w:r>
        <w:t>FR: BS_SOZIALVERSICHERUNGSGERICHT UV.2019.6 du 18 décembre 2018</w:t>
      </w:r>
    </w:p>
    <w:p>
      <w:r>
        <w:t>IT: BS_SOZIALVERSICHERUNGSGERICHT UV.2019.6 del 18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UV.2019.6</w:t>
      </w:r>
    </w:p>
    <w:p>
      <w:r>
        <w:t>Einspracheentscheid vom 18. Dezember 2018</w:t>
      </w:r>
    </w:p>
    <w:p>
      <w:r>
        <w:t>Schwere Handverletzung, funktionelle Einhändigkeit, Adäquanz psychischer Unfallfolgen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