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UV.2019.52 vom 8. November 2019</w:t>
      </w:r>
    </w:p>
    <w:p>
      <w:r>
        <w:t>Bs Sozialversicherungsgericht, 2019-11-08, DE</w:t>
      </w:r>
    </w:p>
    <w:p>
      <w:r>
        <w:rPr>
          <w:b/>
        </w:rPr>
        <w:t xml:space="preserve">Quelle: </w:t>
      </w:r>
      <w:r>
        <w:t>https://mcp.opencaselaw.ch/entscheid/bs_sozialversicherungsgericht_UV.2019.52</w:t>
      </w:r>
    </w:p>
    <w:p>
      <w:r>
        <w:t>FR: BS_SOZIALVERSICHERUNGSGERICHT UV.2019.52 du 8 novembre 2019</w:t>
      </w:r>
    </w:p>
    <w:p>
      <w:r>
        <w:t>IT: BS_SOZIALVERSICHERUNGSGERICHT UV.2019.52 del 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Juni 2020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UV.2019.52</w:t>
      </w:r>
    </w:p>
    <w:p>
      <w:r>
        <w:t>Einspracheentscheid vom 8. November 2019</w:t>
      </w:r>
    </w:p>
    <w:p>
      <w:r>
        <w:t>Hilflosiigkeit mittleren Grades verneint.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