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UV.2019.5 vom 18. Dezember 2018</w:t>
      </w:r>
    </w:p>
    <w:p>
      <w:r>
        <w:t>Bs Sozialversicherungsgericht, 2018-12-18, DE</w:t>
      </w:r>
    </w:p>
    <w:p>
      <w:r>
        <w:rPr>
          <w:b/>
        </w:rPr>
        <w:t xml:space="preserve">Quelle: </w:t>
      </w:r>
      <w:r>
        <w:t>https://mcp.opencaselaw.ch/entscheid/bs_sozialversicherungsgericht_UV.2019.5</w:t>
      </w:r>
    </w:p>
    <w:p>
      <w:r>
        <w:t>FR: BS_SOZIALVERSICHERUNGSGERICHT UV.2019.5 du 18 décembre 2018</w:t>
      </w:r>
    </w:p>
    <w:p>
      <w:r>
        <w:t>IT: BS_SOZIALVERSICHERUNGSGERICHT UV.2019.5 del 18 dicembre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vom21. Mai 2019</w:t>
      </w:r>
    </w:p>
    <w:p>
      <w:r>
        <w:t>Mitwirkende</w:t>
      </w:r>
    </w:p>
    <w:p>
      <w:r>
        <w:t>Dr. G. Thomi (Vorsitz), lic. iur. A. Lesmann-Schaub, Dr. med. R. von Aarburgund Gerichtsschreiberin lic. iur. A. Gmür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UV.2019.5</w:t>
      </w:r>
    </w:p>
    <w:p>
      <w:r>
        <w:t>Einspracheentscheid vom 18. Dezember 2018</w:t>
      </w:r>
    </w:p>
    <w:p>
      <w:r>
        <w:t>Kausalzusammenhang zwischen schädigendem Ereignis und gesundheitlicher Störung nicht mit dem Beweisgrad der überwiegenden Wahrscheinlichkeit nachgewiesen. Leistungspflicht wurde zu Recht verneint.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