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UV.2019.44 vom 25. September 2019</w:t>
      </w:r>
    </w:p>
    <w:p>
      <w:r>
        <w:t>Bs Sozialversicherungsgericht, 2019-09-25, DE</w:t>
      </w:r>
    </w:p>
    <w:p>
      <w:r>
        <w:rPr>
          <w:b/>
        </w:rPr>
        <w:t xml:space="preserve">Quelle: </w:t>
      </w:r>
      <w:r>
        <w:t>https://mcp.opencaselaw.ch/entscheid/bs_sozialversicherungsgericht_UV.2019.44</w:t>
      </w:r>
    </w:p>
    <w:p>
      <w:r>
        <w:t>FR: BS_SOZIALVERSICHERUNGSGERICHT UV.2019.44 du 25 septembre 2019</w:t>
      </w:r>
    </w:p>
    <w:p>
      <w:r>
        <w:t>IT: BS_SOZIALVERSICHERUNGSGERICHT UV.2019.44 del 25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Mai 2020</w:t>
      </w:r>
    </w:p>
    <w:p>
      <w:r>
        <w:t>Mitwirkende</w:t>
      </w:r>
    </w:p>
    <w:p>
      <w:r>
        <w:t>Dr. G. Thomi (Vorsitz), C. Müller,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Beschwerdeführerin</w:t>
      </w:r>
    </w:p>
    <w:p>
      <w:r>
        <w:t>C____ AG</w:t>
      </w:r>
    </w:p>
    <w:p>
      <w:r>
        <w:t>Rechtsdienst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UV.2019.44</w:t>
      </w:r>
    </w:p>
    <w:p>
      <w:r>
        <w:t>Einspracheentscheid vom 25. September 2019</w:t>
      </w:r>
    </w:p>
    <w:p>
      <w:r>
        <w:t>Verwertung der Restarbeitsfähigkeit im Alter; Bemessung des leidensbedingten Abzugs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