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UV.2019.27 vom 17. Mai 2019</w:t>
      </w:r>
    </w:p>
    <w:p>
      <w:r>
        <w:t>Bs Sozialversicherungsgericht, 2019-05-17, DE</w:t>
      </w:r>
    </w:p>
    <w:p>
      <w:r>
        <w:rPr>
          <w:b/>
        </w:rPr>
        <w:t xml:space="preserve">Quelle: </w:t>
      </w:r>
      <w:r>
        <w:t>https://mcp.opencaselaw.ch/entscheid/bs_sozialversicherungsgericht_UV.2019.27</w:t>
      </w:r>
    </w:p>
    <w:p>
      <w:r>
        <w:t>FR: BS_SOZIALVERSICHERUNGSGERICHT UV.2019.27 du 17 mai 2019</w:t>
      </w:r>
    </w:p>
    <w:p>
      <w:r>
        <w:t>IT: BS_SOZIALVERSICHERUNGSGERICHT UV.2019.27 del 17 maggio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Dezember 2019</w:t>
      </w:r>
    </w:p>
    <w:p>
      <w:r>
        <w:t>Mitwirkende</w:t>
      </w:r>
    </w:p>
    <w:p>
      <w:r>
        <w:t>Dr. A. Pfleiderer (Vorsitz), Dr. med. C. Karli, MLaw T. Conti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UV.2019.27</w:t>
      </w:r>
    </w:p>
    <w:p>
      <w:r>
        <w:t>Einspracheentscheid vom 17. Mai 2019</w:t>
      </w:r>
    </w:p>
    <w:p>
      <w:r>
        <w:t>Unfallkausalität nach Rückfallmeldung zu Recht verneint.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