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UV.2019.20 vom 10. April 2019</w:t>
      </w:r>
    </w:p>
    <w:p>
      <w:r>
        <w:t>Bs Sozialversicherungsgericht, 2019-04-10, DE</w:t>
      </w:r>
    </w:p>
    <w:p>
      <w:r>
        <w:rPr>
          <w:b/>
        </w:rPr>
        <w:t xml:space="preserve">Quelle: </w:t>
      </w:r>
      <w:r>
        <w:t>https://mcp.opencaselaw.ch/entscheid/bs_sozialversicherungsgericht_UV.2019.20</w:t>
      </w:r>
    </w:p>
    <w:p>
      <w:r>
        <w:t>FR: BS_SOZIALVERSICHERUNGSGERICHT UV.2019.20 du 10 avril 2019</w:t>
      </w:r>
    </w:p>
    <w:p>
      <w:r>
        <w:t>IT: BS_SOZIALVERSICHERUNGSGERICHT UV.2019.20 del 10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November 2019</w:t>
      </w:r>
    </w:p>
    <w:p>
      <w:r>
        <w:t>Mitwirkende</w:t>
      </w:r>
    </w:p>
    <w:p>
      <w:r>
        <w:t>Dr. G. Thomi (Vorsitz), MLaw M. Kreis, lic. iur. S. Bammatter-Glättli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UV.2019.20</w:t>
      </w:r>
    </w:p>
    <w:p>
      <w:r>
        <w:t>Einspracheentscheid vom 10. April 2019</w:t>
      </w:r>
    </w:p>
    <w:p>
      <w:r>
        <w:t>Unfallkausalität; auf das versicherungsexterne Gutachten kann aus formellen und materiellen Gründen nicht abgestellt werden, der detaillierte Operationsbericht, welcher durch eine Zweitmeinung gestützt wird, ist dagegen vollumfänglich nachvollziehbar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