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UV.2019.16 vom 1. März 2019</w:t>
      </w:r>
    </w:p>
    <w:p>
      <w:r>
        <w:t>Bs Sozialversicherungsgericht, 2019-03-01, DE</w:t>
      </w:r>
    </w:p>
    <w:p>
      <w:r>
        <w:rPr>
          <w:b/>
        </w:rPr>
        <w:t xml:space="preserve">Quelle: </w:t>
      </w:r>
      <w:r>
        <w:t>https://mcp.opencaselaw.ch/entscheid/bs_sozialversicherungsgericht_UV.2019.16</w:t>
      </w:r>
    </w:p>
    <w:p>
      <w:r>
        <w:t>FR: BS_SOZIALVERSICHERUNGSGERICHT UV.2019.16 du 1 mars 2019</w:t>
      </w:r>
    </w:p>
    <w:p>
      <w:r>
        <w:t>IT: BS_SOZIALVERSICHERUNGSGERICHT UV.2019.16 del 1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2019</w:t>
      </w:r>
    </w:p>
    <w:p>
      <w:r>
        <w:t>Mitwirkende</w:t>
      </w:r>
    </w:p>
    <w:p>
      <w:r>
        <w:t>lic. iur. K. Zehnder (Vorsitz), lic. iur. 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UV.2019.16</w:t>
      </w:r>
    </w:p>
    <w:p>
      <w:r>
        <w:t>Einspracheentscheid vom 1. März 2019</w:t>
      </w:r>
    </w:p>
    <w:p>
      <w:r>
        <w:t>Keine Revision bei abweichender Beurteilung des gleichen Sachverhalts; Anforderungen an die Wiedererwägung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